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03EA0504" w14:textId="30F3B50F" w:rsidR="008F4AEA" w:rsidRDefault="00796DDB" w:rsidP="00796DDB">
          <w:pPr>
            <w:pStyle w:val="Titul2"/>
          </w:pPr>
          <w:r w:rsidRPr="00796DDB">
            <w:rPr>
              <w:rStyle w:val="Nzevakce"/>
              <w:b/>
            </w:rPr>
            <w:t>Elektrizace trati vč. PEÚ Brno - Zastávka u Brna, 2. etapa</w:t>
          </w:r>
        </w:p>
      </w:sdtContent>
    </w:sdt>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64D007AB" w14:textId="77777777" w:rsidR="00482EB1" w:rsidRDefault="00482EB1" w:rsidP="00482EB1">
      <w:pPr>
        <w:pStyle w:val="Textbezodsazen"/>
      </w:pPr>
      <w:r w:rsidRPr="00C96E7C">
        <w:rPr>
          <w:highlight w:val="yellow"/>
        </w:rPr>
        <w:t>VLOŽÍ ZHOTOVITEL</w:t>
      </w:r>
    </w:p>
    <w:p w14:paraId="4EF25349" w14:textId="0AB30B14" w:rsidR="00C96E7C" w:rsidRDefault="00C96E7C" w:rsidP="005B7883">
      <w:pPr>
        <w:pStyle w:val="Nadpisbezsl1-2"/>
      </w:pPr>
      <w:r>
        <w:t>1.1.2.4  Jméno (název)</w:t>
      </w:r>
      <w:r w:rsidR="00582C15">
        <w:t xml:space="preserve"> a </w:t>
      </w:r>
      <w:r>
        <w:t>adresa Správce stavby</w:t>
      </w:r>
    </w:p>
    <w:p w14:paraId="7F6C44D8" w14:textId="40B9F903" w:rsidR="00482EB1" w:rsidRDefault="00482EB1" w:rsidP="00482EB1">
      <w:pPr>
        <w:pStyle w:val="Textbezodsazen"/>
      </w:pPr>
      <w:r>
        <w:t xml:space="preserve">Ing. Jan Andratschke, e-mail: </w:t>
      </w:r>
      <w:hyperlink r:id="rId11" w:history="1">
        <w:r w:rsidRPr="003A15C1">
          <w:rPr>
            <w:rStyle w:val="Hypertextovodkaz"/>
            <w:noProof w:val="0"/>
          </w:rPr>
          <w:t>Andratschke@spravazeleznic.cz</w:t>
        </w:r>
      </w:hyperlink>
      <w:r>
        <w:t xml:space="preserve">, tel.: +420 724 </w:t>
      </w:r>
      <w:r w:rsidR="006D37F3">
        <w:t>9</w:t>
      </w:r>
      <w:r>
        <w:t>32 330</w:t>
      </w:r>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11AB02E"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154F240" w14:textId="77777777" w:rsidR="00556975" w:rsidRPr="001F3E94" w:rsidRDefault="00556975" w:rsidP="00556975">
      <w:pPr>
        <w:pStyle w:val="Text1-1"/>
        <w:numPr>
          <w:ilvl w:val="0"/>
          <w:numId w:val="0"/>
        </w:numPr>
        <w:ind w:hanging="28"/>
      </w:pPr>
      <w:r w:rsidRPr="001F3E94">
        <w:t>Z důvodu centralizace podatelen státní organizace Správa železnic k 1. 7. 2021 bude Zhotovitel s účinností od uvedeného data daňové doklady vystavovat a tyto Objednateli doručovat některým z níže uvedených způsobů:</w:t>
      </w:r>
    </w:p>
    <w:p w14:paraId="52DE4DFA" w14:textId="77777777" w:rsidR="00556975" w:rsidRPr="001F3E94" w:rsidRDefault="00556975" w:rsidP="00556975">
      <w:pPr>
        <w:pStyle w:val="Text1-1"/>
        <w:numPr>
          <w:ilvl w:val="0"/>
          <w:numId w:val="0"/>
        </w:numPr>
        <w:ind w:left="1276" w:hanging="283"/>
      </w:pPr>
      <w:r w:rsidRPr="001F3E94">
        <w:lastRenderedPageBreak/>
        <w:t>•</w:t>
      </w:r>
      <w:r w:rsidRPr="001F3E94">
        <w:tab/>
        <w:t>v listinné podobě na adresu Správa železnic, státní organizace, Centrální finanční účtárna Čechy, Náměstí Jana Pernera 217, 530 02 Pardubice, nebo</w:t>
      </w:r>
    </w:p>
    <w:p w14:paraId="356249A9" w14:textId="77777777" w:rsidR="00556975" w:rsidRPr="001F3E94" w:rsidRDefault="00556975" w:rsidP="00556975">
      <w:pPr>
        <w:pStyle w:val="Text1-1"/>
        <w:numPr>
          <w:ilvl w:val="0"/>
          <w:numId w:val="0"/>
        </w:numPr>
        <w:ind w:left="1276" w:hanging="283"/>
      </w:pPr>
      <w:r w:rsidRPr="001F3E94">
        <w:t>•</w:t>
      </w:r>
      <w:r w:rsidRPr="001F3E94">
        <w:tab/>
        <w:t xml:space="preserve">v elektronické podobě na e-mailovou adresu: </w:t>
      </w:r>
      <w:hyperlink r:id="rId12" w:history="1">
        <w:r w:rsidRPr="001F3E94">
          <w:t>ePodatelnaCFU@spravazeleznic.cz</w:t>
        </w:r>
      </w:hyperlink>
      <w:r w:rsidRPr="001F3E94">
        <w:t>, nebo</w:t>
      </w:r>
    </w:p>
    <w:p w14:paraId="16B0AA12" w14:textId="77777777" w:rsidR="00556975" w:rsidRPr="001F3E94" w:rsidRDefault="00556975" w:rsidP="00556975">
      <w:pPr>
        <w:pStyle w:val="Text1-1"/>
        <w:numPr>
          <w:ilvl w:val="0"/>
          <w:numId w:val="0"/>
        </w:numPr>
        <w:ind w:left="1276" w:hanging="283"/>
      </w:pPr>
      <w:r w:rsidRPr="001F3E94">
        <w:t>•</w:t>
      </w:r>
      <w:r w:rsidRPr="001F3E94">
        <w:tab/>
        <w:t>datovou zprávou na identifikátor datové schránky: uccchjm.</w:t>
      </w:r>
    </w:p>
    <w:p w14:paraId="12792791" w14:textId="77777777" w:rsidR="00556975" w:rsidRPr="001F3E94" w:rsidRDefault="00556975" w:rsidP="00556975">
      <w:pPr>
        <w:pStyle w:val="Text1-1"/>
        <w:numPr>
          <w:ilvl w:val="0"/>
          <w:numId w:val="0"/>
        </w:numPr>
        <w:ind w:left="737" w:hanging="737"/>
      </w:pPr>
      <w:r w:rsidRPr="001F3E94">
        <w:t>Po dokončení Díla Zhotovitel vyhotoví a předá Objednateli konečný daňový doklad.</w:t>
      </w:r>
    </w:p>
    <w:p w14:paraId="4CEFB3E7" w14:textId="69CE7C04" w:rsidR="00556975" w:rsidRDefault="00556975" w:rsidP="00556975">
      <w:pPr>
        <w:pStyle w:val="Textbezodsazen"/>
      </w:pPr>
      <w:r>
        <w:t xml:space="preserve">Zhotovitel bude daňové doklady doručovat následujícím způsobem: </w:t>
      </w:r>
      <w:r w:rsidRPr="00556975">
        <w:rPr>
          <w:highlight w:val="yellow"/>
        </w:rPr>
        <w:t>VLOŽÍ ZHOTOVITEL jednu ze tří možností shora</w:t>
      </w:r>
    </w:p>
    <w:p w14:paraId="76521FB1" w14:textId="77777777" w:rsidR="00C96E7C" w:rsidRPr="00EB6216" w:rsidRDefault="00C96E7C" w:rsidP="005B7883">
      <w:pPr>
        <w:pStyle w:val="Nadpisbezsl1-2"/>
        <w:rPr>
          <w:color w:val="00B050"/>
        </w:rPr>
      </w:pPr>
      <w:r>
        <w:t xml:space="preserve">1.1.5.6  Definice sekcí </w:t>
      </w:r>
    </w:p>
    <w:tbl>
      <w:tblPr>
        <w:tblStyle w:val="Tabulka11"/>
        <w:tblW w:w="8868" w:type="dxa"/>
        <w:tblLayout w:type="fixed"/>
        <w:tblLook w:val="04E0" w:firstRow="1" w:lastRow="1" w:firstColumn="1" w:lastColumn="0" w:noHBand="0" w:noVBand="1"/>
      </w:tblPr>
      <w:tblGrid>
        <w:gridCol w:w="4757"/>
        <w:gridCol w:w="4111"/>
      </w:tblGrid>
      <w:tr w:rsidR="00796DDB" w:rsidRPr="00796DDB" w14:paraId="1E6EC90C" w14:textId="77777777" w:rsidTr="00796D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Pr>
          <w:p w14:paraId="2BAC8F28" w14:textId="77777777" w:rsidR="00796DDB" w:rsidRPr="00796DDB" w:rsidRDefault="00796DDB" w:rsidP="00796DDB">
            <w:pPr>
              <w:spacing w:before="40" w:after="40" w:line="240" w:lineRule="auto"/>
              <w:rPr>
                <w:b/>
                <w:sz w:val="18"/>
                <w:szCs w:val="18"/>
              </w:rPr>
            </w:pPr>
            <w:r w:rsidRPr="00796DDB">
              <w:rPr>
                <w:b/>
                <w:sz w:val="18"/>
                <w:szCs w:val="18"/>
              </w:rPr>
              <w:t>Popis</w:t>
            </w:r>
          </w:p>
        </w:tc>
        <w:tc>
          <w:tcPr>
            <w:tcW w:w="4111" w:type="dxa"/>
          </w:tcPr>
          <w:p w14:paraId="15FCCDC5" w14:textId="77777777" w:rsidR="00796DDB" w:rsidRPr="00796DDB" w:rsidRDefault="00796DDB" w:rsidP="00796DDB">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796DDB">
              <w:rPr>
                <w:b/>
                <w:sz w:val="18"/>
                <w:szCs w:val="18"/>
              </w:rPr>
              <w:t>Doba pro dokončení</w:t>
            </w:r>
          </w:p>
        </w:tc>
      </w:tr>
      <w:tr w:rsidR="00796DDB" w:rsidRPr="00796DDB" w14:paraId="75B31976" w14:textId="77777777" w:rsidTr="00796DDB">
        <w:tc>
          <w:tcPr>
            <w:cnfStyle w:val="001000000000" w:firstRow="0" w:lastRow="0" w:firstColumn="1" w:lastColumn="0" w:oddVBand="0" w:evenVBand="0" w:oddHBand="0" w:evenHBand="0" w:firstRowFirstColumn="0" w:firstRowLastColumn="0" w:lastRowFirstColumn="0" w:lastRowLastColumn="0"/>
            <w:tcW w:w="4757" w:type="dxa"/>
            <w:tcBorders>
              <w:bottom w:val="single" w:sz="2" w:space="0" w:color="auto"/>
            </w:tcBorders>
          </w:tcPr>
          <w:p w14:paraId="1B2399F8" w14:textId="77777777" w:rsidR="00796DDB" w:rsidRPr="00796DDB" w:rsidRDefault="00796DDB" w:rsidP="00796DDB">
            <w:pPr>
              <w:spacing w:before="40" w:after="40" w:line="240" w:lineRule="auto"/>
              <w:rPr>
                <w:b/>
                <w:sz w:val="18"/>
                <w:szCs w:val="18"/>
              </w:rPr>
            </w:pPr>
            <w:r w:rsidRPr="00796DDB">
              <w:rPr>
                <w:b/>
                <w:sz w:val="18"/>
                <w:szCs w:val="18"/>
              </w:rPr>
              <w:t>Sekce 0</w:t>
            </w:r>
          </w:p>
          <w:p w14:paraId="3FD672F2" w14:textId="77777777" w:rsidR="00796DDB" w:rsidRPr="00796DDB" w:rsidRDefault="00796DDB" w:rsidP="00796DDB">
            <w:pPr>
              <w:spacing w:before="40" w:after="40" w:line="240" w:lineRule="auto"/>
              <w:rPr>
                <w:sz w:val="18"/>
                <w:szCs w:val="18"/>
              </w:rPr>
            </w:pPr>
            <w:r w:rsidRPr="00796DDB">
              <w:rPr>
                <w:sz w:val="18"/>
                <w:szCs w:val="18"/>
              </w:rPr>
              <w:t>přípravné práce</w:t>
            </w:r>
          </w:p>
        </w:tc>
        <w:tc>
          <w:tcPr>
            <w:tcW w:w="4111" w:type="dxa"/>
            <w:tcBorders>
              <w:bottom w:val="single" w:sz="2" w:space="0" w:color="auto"/>
            </w:tcBorders>
          </w:tcPr>
          <w:p w14:paraId="21047C11" w14:textId="77777777" w:rsidR="00796DDB" w:rsidRPr="00796DDB" w:rsidRDefault="00796DDB" w:rsidP="00796DDB">
            <w:pPr>
              <w:spacing w:before="40" w:after="40" w:line="240" w:lineRule="auto"/>
              <w:cnfStyle w:val="000000000000" w:firstRow="0" w:lastRow="0" w:firstColumn="0" w:lastColumn="0" w:oddVBand="0" w:evenVBand="0" w:oddHBand="0" w:evenHBand="0" w:firstRowFirstColumn="0" w:firstRowLastColumn="0" w:lastRowFirstColumn="0" w:lastRowLastColumn="0"/>
              <w:rPr>
                <w:color w:val="FF0000"/>
                <w:sz w:val="18"/>
                <w:szCs w:val="18"/>
              </w:rPr>
            </w:pPr>
          </w:p>
          <w:p w14:paraId="44185CF6" w14:textId="77777777" w:rsidR="00796DDB" w:rsidRPr="00796DDB" w:rsidRDefault="00796DDB" w:rsidP="00796DDB">
            <w:pPr>
              <w:spacing w:before="40" w:after="40" w:line="240" w:lineRule="auto"/>
              <w:cnfStyle w:val="000000000000" w:firstRow="0" w:lastRow="0" w:firstColumn="0" w:lastColumn="0" w:oddVBand="0" w:evenVBand="0" w:oddHBand="0" w:evenHBand="0" w:firstRowFirstColumn="0" w:firstRowLastColumn="0" w:lastRowFirstColumn="0" w:lastRowLastColumn="0"/>
              <w:rPr>
                <w:color w:val="FF0000"/>
                <w:sz w:val="18"/>
                <w:szCs w:val="18"/>
              </w:rPr>
            </w:pPr>
            <w:r w:rsidRPr="00796DDB">
              <w:rPr>
                <w:sz w:val="18"/>
                <w:szCs w:val="18"/>
              </w:rPr>
              <w:t xml:space="preserve">do </w:t>
            </w:r>
            <w:r w:rsidRPr="00796DDB">
              <w:rPr>
                <w:b/>
                <w:sz w:val="18"/>
                <w:szCs w:val="18"/>
              </w:rPr>
              <w:t>3 měsíců</w:t>
            </w:r>
            <w:r w:rsidRPr="00796DDB">
              <w:rPr>
                <w:sz w:val="18"/>
                <w:szCs w:val="18"/>
              </w:rPr>
              <w:t xml:space="preserve"> od Data zahájení prací</w:t>
            </w:r>
          </w:p>
        </w:tc>
      </w:tr>
      <w:tr w:rsidR="00796DDB" w:rsidRPr="00796DDB" w14:paraId="4038448C" w14:textId="77777777" w:rsidTr="00796DDB">
        <w:tc>
          <w:tcPr>
            <w:cnfStyle w:val="001000000000" w:firstRow="0" w:lastRow="0" w:firstColumn="1" w:lastColumn="0" w:oddVBand="0" w:evenVBand="0" w:oddHBand="0" w:evenHBand="0" w:firstRowFirstColumn="0" w:firstRowLastColumn="0" w:lastRowFirstColumn="0" w:lastRowLastColumn="0"/>
            <w:tcW w:w="4757" w:type="dxa"/>
            <w:tcBorders>
              <w:bottom w:val="single" w:sz="2" w:space="0" w:color="auto"/>
            </w:tcBorders>
          </w:tcPr>
          <w:p w14:paraId="72E4CABC" w14:textId="77777777" w:rsidR="00796DDB" w:rsidRPr="00796DDB" w:rsidRDefault="00796DDB" w:rsidP="00796DDB">
            <w:pPr>
              <w:spacing w:before="40" w:after="40" w:line="240" w:lineRule="auto"/>
              <w:rPr>
                <w:b/>
                <w:sz w:val="18"/>
                <w:szCs w:val="18"/>
              </w:rPr>
            </w:pPr>
            <w:r w:rsidRPr="00796DDB">
              <w:rPr>
                <w:b/>
                <w:sz w:val="18"/>
                <w:szCs w:val="18"/>
              </w:rPr>
              <w:t>Sekce 1 stavební</w:t>
            </w:r>
          </w:p>
          <w:p w14:paraId="4E428CB3" w14:textId="4437344B" w:rsidR="00796DDB" w:rsidRPr="00796DDB" w:rsidRDefault="00796DDB" w:rsidP="00796DDB">
            <w:pPr>
              <w:spacing w:before="40" w:after="40" w:line="240" w:lineRule="auto"/>
              <w:rPr>
                <w:sz w:val="18"/>
                <w:szCs w:val="18"/>
              </w:rPr>
            </w:pPr>
            <w:r w:rsidRPr="00796DDB">
              <w:rPr>
                <w:sz w:val="18"/>
                <w:szCs w:val="18"/>
              </w:rPr>
              <w:t>zahrnující všechny SO a PS a SO 98-98 Všeobecný objekt zahrnující položky č. 3, 5, 6, 7, 8, 9, 10</w:t>
            </w:r>
            <w:r w:rsidR="000550A4">
              <w:rPr>
                <w:sz w:val="18"/>
                <w:szCs w:val="18"/>
              </w:rPr>
              <w:t>, 11</w:t>
            </w:r>
          </w:p>
          <w:p w14:paraId="6A1C9959" w14:textId="77777777" w:rsidR="00796DDB" w:rsidRPr="00796DDB" w:rsidRDefault="00796DDB" w:rsidP="00796DDB">
            <w:pPr>
              <w:spacing w:before="40" w:after="40" w:line="240" w:lineRule="auto"/>
              <w:rPr>
                <w:b/>
                <w:sz w:val="18"/>
                <w:szCs w:val="18"/>
              </w:rPr>
            </w:pPr>
            <w:r w:rsidRPr="00796DDB">
              <w:rPr>
                <w:sz w:val="18"/>
                <w:szCs w:val="18"/>
              </w:rPr>
              <w:t>vyjma směrové a výškové úpravy koleje</w:t>
            </w:r>
          </w:p>
        </w:tc>
        <w:tc>
          <w:tcPr>
            <w:tcW w:w="4111" w:type="dxa"/>
            <w:tcBorders>
              <w:bottom w:val="single" w:sz="2" w:space="0" w:color="auto"/>
            </w:tcBorders>
          </w:tcPr>
          <w:p w14:paraId="6633E1DE" w14:textId="77777777" w:rsidR="00796DDB" w:rsidRPr="00796DDB" w:rsidRDefault="00796DDB" w:rsidP="00796DDB">
            <w:pPr>
              <w:spacing w:before="40" w:after="40" w:line="240" w:lineRule="auto"/>
              <w:cnfStyle w:val="000000000000" w:firstRow="0" w:lastRow="0" w:firstColumn="0" w:lastColumn="0" w:oddVBand="0" w:evenVBand="0" w:oddHBand="0" w:evenHBand="0" w:firstRowFirstColumn="0" w:firstRowLastColumn="0" w:lastRowFirstColumn="0" w:lastRowLastColumn="0"/>
              <w:rPr>
                <w:color w:val="FF0000"/>
                <w:sz w:val="18"/>
                <w:szCs w:val="18"/>
              </w:rPr>
            </w:pPr>
          </w:p>
          <w:p w14:paraId="6F6CE91F" w14:textId="77777777" w:rsidR="00796DDB" w:rsidRPr="00796DDB" w:rsidRDefault="00796DDB" w:rsidP="00796DDB">
            <w:pPr>
              <w:spacing w:before="40" w:after="40" w:line="240" w:lineRule="auto"/>
              <w:cnfStyle w:val="000000000000" w:firstRow="0" w:lastRow="0" w:firstColumn="0" w:lastColumn="0" w:oddVBand="0" w:evenVBand="0" w:oddHBand="0" w:evenHBand="0" w:firstRowFirstColumn="0" w:firstRowLastColumn="0" w:lastRowFirstColumn="0" w:lastRowLastColumn="0"/>
              <w:rPr>
                <w:color w:val="FF0000"/>
                <w:sz w:val="18"/>
                <w:szCs w:val="18"/>
              </w:rPr>
            </w:pPr>
            <w:r w:rsidRPr="00796DDB">
              <w:rPr>
                <w:b/>
                <w:sz w:val="18"/>
                <w:szCs w:val="18"/>
              </w:rPr>
              <w:t>21 měsíců</w:t>
            </w:r>
            <w:r w:rsidRPr="00796DDB">
              <w:rPr>
                <w:sz w:val="18"/>
                <w:szCs w:val="18"/>
              </w:rPr>
              <w:t xml:space="preserve"> od Data zahájení prací</w:t>
            </w:r>
          </w:p>
        </w:tc>
      </w:tr>
      <w:tr w:rsidR="00796DDB" w:rsidRPr="00796DDB" w14:paraId="5AFC84B3" w14:textId="77777777" w:rsidTr="00796DDB">
        <w:tc>
          <w:tcPr>
            <w:cnfStyle w:val="001000000000" w:firstRow="0" w:lastRow="0" w:firstColumn="1" w:lastColumn="0" w:oddVBand="0" w:evenVBand="0" w:oddHBand="0" w:evenHBand="0" w:firstRowFirstColumn="0" w:firstRowLastColumn="0" w:lastRowFirstColumn="0" w:lastRowLastColumn="0"/>
            <w:tcW w:w="4757" w:type="dxa"/>
            <w:tcBorders>
              <w:top w:val="single" w:sz="2" w:space="0" w:color="auto"/>
              <w:bottom w:val="single" w:sz="2" w:space="0" w:color="auto"/>
            </w:tcBorders>
            <w:shd w:val="clear" w:color="auto" w:fill="auto"/>
          </w:tcPr>
          <w:p w14:paraId="49AA731E" w14:textId="77777777" w:rsidR="00796DDB" w:rsidRPr="00796DDB" w:rsidRDefault="00796DDB" w:rsidP="00796DDB">
            <w:pPr>
              <w:spacing w:before="40" w:after="40" w:line="240" w:lineRule="auto"/>
              <w:rPr>
                <w:b/>
                <w:sz w:val="18"/>
                <w:szCs w:val="18"/>
              </w:rPr>
            </w:pPr>
            <w:r w:rsidRPr="00796DDB">
              <w:rPr>
                <w:b/>
                <w:sz w:val="18"/>
                <w:szCs w:val="18"/>
              </w:rPr>
              <w:t>Sekce 2</w:t>
            </w:r>
          </w:p>
          <w:p w14:paraId="2B0F31F2" w14:textId="598573CD" w:rsidR="00796DDB" w:rsidRPr="00796DDB" w:rsidRDefault="00796DDB" w:rsidP="000803D5">
            <w:pPr>
              <w:spacing w:before="40" w:after="40" w:line="240" w:lineRule="auto"/>
              <w:rPr>
                <w:b/>
                <w:color w:val="FF0000"/>
                <w:sz w:val="18"/>
                <w:szCs w:val="18"/>
              </w:rPr>
            </w:pPr>
            <w:r w:rsidRPr="00796DDB">
              <w:rPr>
                <w:sz w:val="18"/>
                <w:szCs w:val="18"/>
              </w:rPr>
              <w:t>Zahrnující následnou směrovou a výškovou úpravu kolejí</w:t>
            </w:r>
            <w:r w:rsidR="000803D5">
              <w:rPr>
                <w:sz w:val="18"/>
                <w:szCs w:val="18"/>
              </w:rPr>
              <w:t xml:space="preserve"> </w:t>
            </w:r>
          </w:p>
        </w:tc>
        <w:tc>
          <w:tcPr>
            <w:tcW w:w="4111" w:type="dxa"/>
            <w:tcBorders>
              <w:top w:val="single" w:sz="2" w:space="0" w:color="auto"/>
              <w:bottom w:val="single" w:sz="2" w:space="0" w:color="auto"/>
            </w:tcBorders>
            <w:shd w:val="clear" w:color="auto" w:fill="auto"/>
          </w:tcPr>
          <w:p w14:paraId="00FBE7E9" w14:textId="77777777" w:rsidR="00796DDB" w:rsidRPr="00796DDB" w:rsidRDefault="00796DDB" w:rsidP="00796DDB">
            <w:pPr>
              <w:spacing w:before="40" w:after="40" w:line="240" w:lineRule="auto"/>
              <w:cnfStyle w:val="000000000000" w:firstRow="0" w:lastRow="0" w:firstColumn="0" w:lastColumn="0" w:oddVBand="0" w:evenVBand="0" w:oddHBand="0" w:evenHBand="0" w:firstRowFirstColumn="0" w:firstRowLastColumn="0" w:lastRowFirstColumn="0" w:lastRowLastColumn="0"/>
              <w:rPr>
                <w:color w:val="FF0000"/>
                <w:sz w:val="18"/>
                <w:szCs w:val="18"/>
              </w:rPr>
            </w:pPr>
            <w:r w:rsidRPr="00796DDB">
              <w:rPr>
                <w:sz w:val="18"/>
                <w:szCs w:val="18"/>
              </w:rPr>
              <w:t xml:space="preserve">do </w:t>
            </w:r>
            <w:r w:rsidRPr="00796DDB">
              <w:rPr>
                <w:b/>
                <w:sz w:val="18"/>
                <w:szCs w:val="18"/>
              </w:rPr>
              <w:t>6 měsíců</w:t>
            </w:r>
            <w:r w:rsidRPr="00796DDB">
              <w:rPr>
                <w:sz w:val="18"/>
                <w:szCs w:val="18"/>
              </w:rPr>
              <w:t xml:space="preserve"> ode dne vydání Potvrzení o převzetí Sekce 1 Stavební</w:t>
            </w:r>
          </w:p>
        </w:tc>
      </w:tr>
      <w:tr w:rsidR="00796DDB" w:rsidRPr="00796DDB" w14:paraId="000F6083" w14:textId="77777777" w:rsidTr="00796D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single" w:sz="2" w:space="0" w:color="auto"/>
            </w:tcBorders>
            <w:shd w:val="clear" w:color="auto" w:fill="auto"/>
            <w:vAlign w:val="top"/>
          </w:tcPr>
          <w:p w14:paraId="247BA391" w14:textId="77777777" w:rsidR="00796DDB" w:rsidRPr="00796DDB" w:rsidRDefault="00796DDB" w:rsidP="00796DDB">
            <w:pPr>
              <w:spacing w:before="40" w:after="40" w:line="240" w:lineRule="auto"/>
              <w:rPr>
                <w:sz w:val="18"/>
                <w:szCs w:val="18"/>
              </w:rPr>
            </w:pPr>
            <w:r w:rsidRPr="00796DDB">
              <w:rPr>
                <w:sz w:val="18"/>
                <w:szCs w:val="18"/>
              </w:rPr>
              <w:t>Sekce 3</w:t>
            </w:r>
          </w:p>
          <w:p w14:paraId="363EBD21" w14:textId="77777777" w:rsidR="00796DDB" w:rsidRPr="00796DDB" w:rsidRDefault="00796DDB" w:rsidP="00796DDB">
            <w:pPr>
              <w:spacing w:before="40" w:after="40" w:line="240" w:lineRule="auto"/>
              <w:rPr>
                <w:b w:val="0"/>
                <w:sz w:val="18"/>
                <w:szCs w:val="18"/>
              </w:rPr>
            </w:pPr>
            <w:r w:rsidRPr="00796DDB">
              <w:rPr>
                <w:b w:val="0"/>
                <w:sz w:val="18"/>
                <w:szCs w:val="18"/>
              </w:rPr>
              <w:t>Zahrnující SO 98-98 Všeobecný objekt, pol. č. 1, 2, 4</w:t>
            </w:r>
          </w:p>
        </w:tc>
        <w:tc>
          <w:tcPr>
            <w:tcW w:w="4111" w:type="dxa"/>
            <w:tcBorders>
              <w:top w:val="single" w:sz="2" w:space="0" w:color="auto"/>
            </w:tcBorders>
            <w:shd w:val="clear" w:color="auto" w:fill="auto"/>
            <w:vAlign w:val="top"/>
          </w:tcPr>
          <w:p w14:paraId="1FEA7175" w14:textId="77777777" w:rsidR="00796DDB" w:rsidRPr="00796DDB" w:rsidRDefault="00796DDB" w:rsidP="00796DDB">
            <w:pPr>
              <w:spacing w:before="40" w:after="40" w:line="240" w:lineRule="auto"/>
              <w:cnfStyle w:val="010000000000" w:firstRow="0" w:lastRow="1" w:firstColumn="0" w:lastColumn="0" w:oddVBand="0" w:evenVBand="0" w:oddHBand="0" w:evenHBand="0" w:firstRowFirstColumn="0" w:firstRowLastColumn="0" w:lastRowFirstColumn="0" w:lastRowLastColumn="0"/>
              <w:rPr>
                <w:sz w:val="18"/>
                <w:szCs w:val="18"/>
              </w:rPr>
            </w:pPr>
            <w:r w:rsidRPr="00796DDB">
              <w:rPr>
                <w:b w:val="0"/>
                <w:sz w:val="18"/>
                <w:szCs w:val="18"/>
              </w:rPr>
              <w:t xml:space="preserve">do </w:t>
            </w:r>
            <w:r w:rsidRPr="00796DDB">
              <w:rPr>
                <w:sz w:val="18"/>
                <w:szCs w:val="18"/>
              </w:rPr>
              <w:t xml:space="preserve">6 měsíců </w:t>
            </w:r>
            <w:r w:rsidRPr="00796DDB">
              <w:rPr>
                <w:b w:val="0"/>
                <w:bCs/>
                <w:sz w:val="18"/>
                <w:szCs w:val="18"/>
              </w:rPr>
              <w:t>ode dne vydání Potvrzení o převzetí</w:t>
            </w:r>
            <w:r w:rsidRPr="00796DDB">
              <w:rPr>
                <w:b w:val="0"/>
                <w:sz w:val="18"/>
                <w:szCs w:val="18"/>
              </w:rPr>
              <w:t xml:space="preserve"> Sekce 1 Stavební</w:t>
            </w: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1C561CF4" w:rsidR="00726A41" w:rsidRDefault="00C23A73" w:rsidP="00726A41">
      <w:pPr>
        <w:spacing w:after="120" w:line="264" w:lineRule="auto"/>
        <w:jc w:val="both"/>
        <w:rPr>
          <w:rFonts w:asciiTheme="minorHAnsi" w:hAnsiTheme="minorHAnsi"/>
          <w:b/>
        </w:rPr>
      </w:pPr>
      <w:r>
        <w:rPr>
          <w:rFonts w:asciiTheme="minorHAnsi" w:hAnsiTheme="minorHAnsi"/>
          <w:b/>
        </w:rPr>
        <w:t xml:space="preserve">1.7     </w:t>
      </w:r>
      <w:r w:rsidR="00726A41" w:rsidRPr="00A10EEB">
        <w:rPr>
          <w:rFonts w:asciiTheme="minorHAnsi" w:hAnsiTheme="minorHAnsi"/>
          <w:b/>
        </w:rPr>
        <w:t>Postoupení</w:t>
      </w:r>
    </w:p>
    <w:p w14:paraId="74F86552" w14:textId="60301B8C" w:rsidR="006E7344" w:rsidRPr="006C482A" w:rsidRDefault="006E7344" w:rsidP="006E7344">
      <w:pPr>
        <w:spacing w:after="120" w:line="264" w:lineRule="auto"/>
        <w:jc w:val="both"/>
        <w:rPr>
          <w:rFonts w:asciiTheme="minorHAnsi" w:hAnsiTheme="minorHAnsi"/>
          <w:i/>
          <w:sz w:val="18"/>
          <w:szCs w:val="18"/>
        </w:rPr>
      </w:pPr>
      <w:r w:rsidRPr="006C482A">
        <w:rPr>
          <w:rFonts w:asciiTheme="minorHAnsi" w:hAnsiTheme="minorHAnsi"/>
          <w:i/>
          <w:sz w:val="18"/>
          <w:szCs w:val="18"/>
        </w:rPr>
        <w:t>Doplňuje se druhý odstavec, současný druhý odstavec se stává třetím.</w:t>
      </w:r>
    </w:p>
    <w:p w14:paraId="04FDCD8E" w14:textId="77F5A176" w:rsidR="00726A41" w:rsidRPr="00D36E20" w:rsidRDefault="006E7344" w:rsidP="00D36E20">
      <w:pPr>
        <w:spacing w:after="240" w:line="264" w:lineRule="auto"/>
        <w:jc w:val="both"/>
        <w:rPr>
          <w:rFonts w:asciiTheme="minorHAnsi" w:hAnsiTheme="minorHAnsi"/>
          <w:sz w:val="18"/>
          <w:szCs w:val="18"/>
        </w:rPr>
      </w:pPr>
      <w:r w:rsidRPr="006C482A">
        <w:rPr>
          <w:rFonts w:asciiTheme="minorHAnsi" w:hAnsiTheme="minorHAnsi"/>
          <w:sz w:val="18"/>
          <w:szCs w:val="18"/>
        </w:rPr>
        <w:t xml:space="preserve">Pokud dojde v souladu se zákonem č.134/2016 Sb. o zadávání veřejných zakázek ke změně v osobě Zhotovitele a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w:t>
      </w:r>
      <w:r w:rsidRPr="006C482A">
        <w:rPr>
          <w:rFonts w:asciiTheme="minorHAnsi" w:hAnsiTheme="minorHAnsi"/>
          <w:sz w:val="18"/>
          <w:szCs w:val="18"/>
        </w:rPr>
        <w:lastRenderedPageBreak/>
        <w:t>Marné uplynutí této lhůty je důvodem pro pokyn Správce stavby o přerušení prací dle Pod-článku 8.8 [</w:t>
      </w:r>
      <w:r w:rsidRPr="006C482A">
        <w:rPr>
          <w:rFonts w:asciiTheme="minorHAnsi" w:hAnsiTheme="minorHAnsi"/>
          <w:i/>
          <w:sz w:val="18"/>
          <w:szCs w:val="18"/>
        </w:rPr>
        <w:t>Přerušení práce</w:t>
      </w:r>
      <w:r w:rsidRPr="006C482A">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w:t>
      </w:r>
      <w:r w:rsidRPr="00D36E20">
        <w:t xml:space="preserve">Přílohu č. </w:t>
      </w:r>
      <w:r w:rsidR="00AA227A" w:rsidRPr="00D36E20">
        <w:t xml:space="preserve">7 </w:t>
      </w:r>
      <w:r w:rsidRPr="00D36E20">
        <w:t>Smlouvy</w:t>
      </w:r>
      <w:r w:rsidR="00582C15" w:rsidRPr="00D36E20">
        <w:t xml:space="preserve"> </w:t>
      </w:r>
      <w:r w:rsidR="00582C15">
        <w:t>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0CB3B5E8" w14:textId="77777777" w:rsidR="00EC7081" w:rsidRPr="009F4424" w:rsidRDefault="00BB79E8" w:rsidP="005D168C">
      <w:pPr>
        <w:pStyle w:val="Textbezodsazen"/>
      </w:pPr>
      <w:r w:rsidRPr="009F4424">
        <w:t>Zhot</w:t>
      </w:r>
      <w:r w:rsidR="00953532" w:rsidRPr="009F4424">
        <w:t>ovitel se zava</w:t>
      </w:r>
      <w:r w:rsidR="007B1246" w:rsidRPr="009F4424">
        <w:t>zuje:</w:t>
      </w:r>
    </w:p>
    <w:p w14:paraId="3D828260" w14:textId="77777777" w:rsidR="008F512C" w:rsidRPr="008F512C" w:rsidRDefault="008F512C" w:rsidP="008F512C">
      <w:pPr>
        <w:spacing w:after="120" w:line="264" w:lineRule="auto"/>
        <w:jc w:val="both"/>
        <w:rPr>
          <w:sz w:val="18"/>
          <w:szCs w:val="18"/>
        </w:rPr>
      </w:pPr>
      <w:r w:rsidRPr="008F512C">
        <w:rPr>
          <w:sz w:val="18"/>
          <w:szCs w:val="18"/>
        </w:rPr>
        <w:t>Ustanovení (a), (1) a (3) pod-článku 1.15 se nepoužijí.</w:t>
      </w:r>
    </w:p>
    <w:p w14:paraId="52D07A03" w14:textId="77777777" w:rsidR="008F512C" w:rsidRPr="008F512C" w:rsidRDefault="008F512C" w:rsidP="008F512C">
      <w:pPr>
        <w:spacing w:after="120" w:line="264" w:lineRule="auto"/>
        <w:jc w:val="both"/>
        <w:rPr>
          <w:sz w:val="18"/>
          <w:szCs w:val="18"/>
        </w:rPr>
      </w:pPr>
      <w:r w:rsidRPr="008F512C">
        <w:rPr>
          <w:sz w:val="18"/>
          <w:szCs w:val="18"/>
        </w:rPr>
        <w:t>Podrobnosti a požadavky k ustanovení (2) pod článku 1.15:</w:t>
      </w:r>
    </w:p>
    <w:p w14:paraId="22E59677" w14:textId="4676824D" w:rsidR="008F512C" w:rsidRPr="008F512C" w:rsidRDefault="008F512C" w:rsidP="008F512C">
      <w:pPr>
        <w:pStyle w:val="Odstavec1-2i"/>
        <w:tabs>
          <w:tab w:val="clear" w:pos="1531"/>
        </w:tabs>
        <w:ind w:left="426" w:hanging="426"/>
      </w:pPr>
      <w:r w:rsidRPr="008F512C">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w:t>
      </w:r>
      <w:r>
        <w:br/>
      </w:r>
      <w:r w:rsidRPr="008F512C">
        <w:t>od původně Objednatelem požadovaného termínu. Zhotovitel poskytne Objednateli součinnost při jeho účasti na exkurzi. Ustanovení předchozí věty však nezavazuje Objednatele k účasti na exkurzi</w:t>
      </w:r>
    </w:p>
    <w:p w14:paraId="5CCA10BF" w14:textId="4DD8CBB7" w:rsidR="008F512C" w:rsidRPr="008F512C" w:rsidRDefault="008F512C" w:rsidP="008F512C">
      <w:pPr>
        <w:pStyle w:val="Odstavec1-2i"/>
        <w:tabs>
          <w:tab w:val="clear" w:pos="1531"/>
        </w:tabs>
        <w:ind w:left="426" w:hanging="426"/>
      </w:pPr>
      <w:r w:rsidRPr="008F512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C344979" w14:textId="73FC0818" w:rsidR="008F512C" w:rsidRPr="008F512C" w:rsidRDefault="008F512C" w:rsidP="008F512C">
      <w:pPr>
        <w:pStyle w:val="Odstavec1-2i"/>
        <w:tabs>
          <w:tab w:val="clear" w:pos="1531"/>
        </w:tabs>
        <w:ind w:left="426" w:hanging="426"/>
      </w:pPr>
      <w:r w:rsidRPr="008F512C">
        <w:t xml:space="preserve">Zhotovitel se zavazuje provést účastníky exkurze po dotčených místech dle podmínek </w:t>
      </w:r>
      <w:r>
        <w:br/>
      </w:r>
      <w:r w:rsidRPr="008F512C">
        <w:t>a</w:t>
      </w:r>
      <w:r>
        <w:t xml:space="preserve"> </w:t>
      </w:r>
      <w:r w:rsidRPr="008F512C">
        <w:rPr>
          <w:rFonts w:asciiTheme="minorHAnsi" w:hAnsiTheme="minorHAnsi"/>
        </w:rPr>
        <w:t>omezení stanovených BOZP a poskytnout účastníkům exkurze odborný výklad k aktuálně prováděným činnostem.</w:t>
      </w:r>
    </w:p>
    <w:p w14:paraId="5C6CA4EB" w14:textId="100007B4" w:rsidR="00C96E7C" w:rsidRDefault="00C96E7C" w:rsidP="008F512C">
      <w:pPr>
        <w:pStyle w:val="Nadpisbezsl1-2"/>
      </w:pPr>
      <w:r>
        <w:t>2.1  Právo přístupu na staveniště</w:t>
      </w:r>
    </w:p>
    <w:p w14:paraId="4EFFAE80" w14:textId="4D1E2CA7" w:rsidR="00C96E7C" w:rsidRDefault="00C96E7C" w:rsidP="005D168C">
      <w:pPr>
        <w:pStyle w:val="Textbezodsazen"/>
      </w:pPr>
      <w:r>
        <w:t xml:space="preserve">Přístup na Staveniště bude Zhotoviteli umožněn od </w:t>
      </w:r>
      <w:r w:rsidR="008F512C" w:rsidRPr="008F512C">
        <w:t>předání staveniště (předpoklad 0</w:t>
      </w:r>
      <w:r w:rsidR="008F512C">
        <w:t>4</w:t>
      </w:r>
      <w:r w:rsidR="008F512C" w:rsidRPr="008F512C">
        <w:t>/202</w:t>
      </w:r>
      <w:r w:rsidR="008F512C">
        <w:t>2</w:t>
      </w:r>
      <w:r w:rsidR="008F512C" w:rsidRPr="008F512C">
        <w:t xml:space="preserve">) </w:t>
      </w:r>
      <w:r>
        <w:t>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6B67ECC" w14:textId="3B4FCD08" w:rsidR="00C96E7C" w:rsidRDefault="008F512C" w:rsidP="003E2E24">
      <w:pPr>
        <w:pStyle w:val="Textbezodsazen"/>
        <w:numPr>
          <w:ilvl w:val="0"/>
          <w:numId w:val="48"/>
        </w:numPr>
      </w:pPr>
      <w:r>
        <w:t xml:space="preserve">Mgr. Jan Hřídel, e-mail: </w:t>
      </w:r>
      <w:hyperlink r:id="rId13" w:history="1">
        <w:r w:rsidR="006D37F3" w:rsidRPr="003A15C1">
          <w:rPr>
            <w:rStyle w:val="Hypertextovodkaz"/>
            <w:noProof w:val="0"/>
          </w:rPr>
          <w:t>Hridel@spravazeleznic.cz</w:t>
        </w:r>
      </w:hyperlink>
      <w:r w:rsidR="006D37F3">
        <w:t>, tel.: +420 724 932 362</w:t>
      </w:r>
    </w:p>
    <w:p w14:paraId="0517848A" w14:textId="1A506DE8" w:rsidR="006D37F3" w:rsidRDefault="006D37F3" w:rsidP="006D37F3">
      <w:pPr>
        <w:pStyle w:val="Textbezodsazen"/>
      </w:pPr>
      <w:r>
        <w:t>V</w:t>
      </w:r>
      <w:r w:rsidRPr="006D37F3">
        <w:t>e věci kontroly požití alkoholu a/nebo návykových látek:</w:t>
      </w:r>
    </w:p>
    <w:p w14:paraId="4F97F865" w14:textId="2E97FC03" w:rsidR="00C96E7C" w:rsidRPr="006D37F3" w:rsidRDefault="006D37F3" w:rsidP="005D168C">
      <w:pPr>
        <w:pStyle w:val="Textbezodsazen"/>
        <w:numPr>
          <w:ilvl w:val="0"/>
          <w:numId w:val="48"/>
        </w:numPr>
      </w:pPr>
      <w:r w:rsidRPr="006D37F3">
        <w:t xml:space="preserve">Ing. Jan Andratschke, e-mail: </w:t>
      </w:r>
      <w:r w:rsidRPr="006D37F3">
        <w:rPr>
          <w:rStyle w:val="Hypertextovodkaz"/>
          <w:noProof w:val="0"/>
        </w:rPr>
        <w:t>Andratschke@spravazeleznic.cz</w:t>
      </w:r>
      <w:r>
        <w:rPr>
          <w:rStyle w:val="Hypertextovodkaz"/>
          <w:noProof w:val="0"/>
          <w:color w:val="auto"/>
          <w:u w:val="none"/>
        </w:rPr>
        <w:t>,</w:t>
      </w:r>
      <w:r>
        <w:t xml:space="preserve"> tel.: +420 724 9</w:t>
      </w:r>
      <w:r w:rsidRPr="006D37F3">
        <w:t>32 330</w:t>
      </w:r>
    </w:p>
    <w:p w14:paraId="2FC4176E" w14:textId="77777777" w:rsidR="00C96E7C" w:rsidRDefault="00C96E7C" w:rsidP="005B7883">
      <w:pPr>
        <w:pStyle w:val="Nadpisbezsl1-2"/>
      </w:pPr>
      <w:r>
        <w:lastRenderedPageBreak/>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32F7DC5E" w:rsidR="00726A41"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3DD151CC" w14:textId="1567D244" w:rsidR="006E7344" w:rsidRPr="006E7344" w:rsidRDefault="006E7344" w:rsidP="006E7344">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7C6D4B10" w14:textId="7BB4F5B5" w:rsidR="006E7344" w:rsidRPr="006E7344" w:rsidRDefault="006E7344" w:rsidP="006E7344">
      <w:pPr>
        <w:spacing w:after="240" w:line="264" w:lineRule="auto"/>
        <w:jc w:val="both"/>
        <w:rPr>
          <w:rFonts w:asciiTheme="minorHAnsi" w:hAnsiTheme="minorHAnsi"/>
          <w:sz w:val="18"/>
          <w:szCs w:val="18"/>
        </w:rPr>
      </w:pPr>
      <w:r w:rsidRPr="006E7344">
        <w:rPr>
          <w:rFonts w:asciiTheme="minorHAnsi" w:hAnsiTheme="minorHAnsi"/>
          <w:sz w:val="18"/>
          <w:szCs w:val="18"/>
        </w:rPr>
        <w:t xml:space="preserve">V případě, </w:t>
      </w:r>
      <w:r w:rsidRPr="00D36E20">
        <w:rPr>
          <w:rFonts w:asciiTheme="minorHAnsi" w:hAnsiTheme="minorHAnsi"/>
          <w:sz w:val="18"/>
          <w:szCs w:val="18"/>
        </w:rPr>
        <w:t xml:space="preserve">že dojde v souladu s Pod-článkem 1.7 ke změně v osobě Zhotovitele, musí být Objednateli do 7 dnů poté, co nastanou právní účinky změny, předložena Bankovní záruka za provedení Díla vystavená pro nového Zhotovitele. Objednatel vrátí předchozí Bankovní záruku za provedení Díla Zhotoviteli do 21 dnů poté, co obdrží Bankovní záruku </w:t>
      </w:r>
      <w:r w:rsidRPr="006E7344">
        <w:rPr>
          <w:rFonts w:asciiTheme="minorHAnsi" w:hAnsiTheme="minorHAnsi"/>
          <w:sz w:val="18"/>
          <w:szCs w:val="18"/>
        </w:rPr>
        <w:t>za provedení Díla vystavenou pro nového Zhotovitele.</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48D231A" w:rsidR="00726A41"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71CAF54B" w14:textId="6FC33E25" w:rsidR="006E7344" w:rsidRPr="006E7344" w:rsidRDefault="006E7344" w:rsidP="006E7344">
      <w:pPr>
        <w:spacing w:after="240" w:line="264" w:lineRule="auto"/>
        <w:jc w:val="both"/>
        <w:rPr>
          <w:rFonts w:asciiTheme="minorHAnsi" w:hAnsiTheme="minorHAnsi"/>
          <w:sz w:val="18"/>
          <w:szCs w:val="18"/>
        </w:rPr>
      </w:pPr>
      <w:r w:rsidRPr="006E7344">
        <w:rPr>
          <w:rFonts w:asciiTheme="minorHAnsi" w:hAnsiTheme="minorHAnsi"/>
          <w:sz w:val="18"/>
          <w:szCs w:val="18"/>
        </w:rPr>
        <w:t>V případě</w:t>
      </w:r>
      <w:r w:rsidRPr="00D36E20">
        <w:rPr>
          <w:rFonts w:asciiTheme="minorHAnsi" w:hAnsiTheme="minorHAnsi"/>
          <w:sz w:val="18"/>
          <w:szCs w:val="18"/>
        </w:rPr>
        <w:t xml:space="preserve">, že dojde v souladu s Pod-článkem 1.7 ke změně v osobě Zhotovitele, musí být Objednateli do 7 dnů poté, co nastanou právní účinky změny, předložena Bankovní záruka za odstranění vad Díla vystavená pro nového Zhotovitele. Objednatel vrátí předchozí Bankovní záruku za odstranění vad Díla Zhotoviteli do 21 dnů poté, co obdrží Bankovní </w:t>
      </w:r>
      <w:r w:rsidRPr="006E7344">
        <w:rPr>
          <w:rFonts w:asciiTheme="minorHAnsi" w:hAnsiTheme="minorHAnsi"/>
          <w:sz w:val="18"/>
          <w:szCs w:val="18"/>
        </w:rPr>
        <w:t>záruku za odstranění vad Díla vystavenou pro nového Zhotovitele.</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751FDB3E" w14:textId="77777777" w:rsidR="006C3F5A" w:rsidRPr="006C3F5A" w:rsidRDefault="006C3F5A" w:rsidP="006C3F5A">
      <w:pPr>
        <w:spacing w:after="120" w:line="264" w:lineRule="auto"/>
        <w:jc w:val="both"/>
        <w:rPr>
          <w:rFonts w:eastAsia="Times New Roman" w:cs="Calibri"/>
          <w:sz w:val="18"/>
          <w:szCs w:val="18"/>
          <w:lang w:eastAsia="cs-CZ"/>
        </w:rPr>
      </w:pPr>
      <w:r w:rsidRPr="006C3F5A">
        <w:rPr>
          <w:rFonts w:asciiTheme="minorHAnsi" w:hAnsiTheme="minorHAnsi"/>
          <w:sz w:val="18"/>
          <w:szCs w:val="18"/>
        </w:rPr>
        <w:t xml:space="preserve">Za speciální činnosti a zařízení se považují: </w:t>
      </w:r>
      <w:r w:rsidRPr="006C3F5A">
        <w:rPr>
          <w:rFonts w:eastAsia="Times New Roman" w:cs="Calibri"/>
          <w:sz w:val="18"/>
          <w:szCs w:val="18"/>
          <w:lang w:eastAsia="cs-CZ"/>
        </w:rPr>
        <w:t>Broušení kolejí a výhybek.</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3884055C" w14:textId="77777777" w:rsidR="00D36E20" w:rsidRDefault="00D36E20" w:rsidP="005D168C">
      <w:pPr>
        <w:pStyle w:val="Textbezodsazen"/>
        <w:rPr>
          <w:rStyle w:val="Tun"/>
        </w:rPr>
      </w:pPr>
    </w:p>
    <w:p w14:paraId="6F6E8312" w14:textId="06670052"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Default="00C96E7C" w:rsidP="005B7883">
      <w:pPr>
        <w:pStyle w:val="Nadpisbezsl1-2"/>
      </w:pPr>
      <w:r>
        <w:t>8.2, 8.4  Doba pro dokončení, Prodloužení doby pro dokončení</w:t>
      </w:r>
    </w:p>
    <w:p w14:paraId="22E2A309" w14:textId="07455709" w:rsidR="00C96E7C" w:rsidRDefault="00C96E7C" w:rsidP="005D168C">
      <w:pPr>
        <w:pStyle w:val="Textbezodsazen"/>
      </w:pPr>
      <w:r>
        <w:t>Zhotovitel je povinen dokončit celé Dílo včetně příslušné dokumentace dle pod-článku 7.9 do</w:t>
      </w:r>
      <w:r w:rsidR="004D4B84">
        <w:t xml:space="preserve"> </w:t>
      </w:r>
      <w:r w:rsidR="004A7894" w:rsidRPr="004A7894">
        <w:rPr>
          <w:b/>
        </w:rPr>
        <w:t>27 měsíců</w:t>
      </w:r>
      <w:r>
        <w:t xml:space="preserve"> od Data zahájení prací.</w:t>
      </w:r>
    </w:p>
    <w:p w14:paraId="2F057894" w14:textId="77777777" w:rsidR="00C96E7C" w:rsidRDefault="00C96E7C" w:rsidP="005B7883">
      <w:pPr>
        <w:pStyle w:val="Nadpisbezsl1-2"/>
      </w:pPr>
      <w:r>
        <w:t>8.2, 1.1.3.10  Doba pro uvedení do provozu</w:t>
      </w:r>
    </w:p>
    <w:p w14:paraId="7FEF8740" w14:textId="15E65C08" w:rsidR="00C96E7C" w:rsidRDefault="00C96E7C" w:rsidP="005D168C">
      <w:pPr>
        <w:pStyle w:val="Textbezodsazen"/>
      </w:pPr>
      <w:r w:rsidRPr="000803D5">
        <w:t xml:space="preserve">Zhotovitel je povinen dokončit </w:t>
      </w:r>
      <w:r w:rsidR="004A7894" w:rsidRPr="000803D5">
        <w:t>Sekci 1 stavební</w:t>
      </w:r>
      <w:r w:rsidR="00582C15" w:rsidRPr="000803D5">
        <w:t xml:space="preserve"> v </w:t>
      </w:r>
      <w:r w:rsidRPr="000803D5">
        <w:t>rozsahu nezbytném pro účely uvedení Díla nebo Sekce</w:t>
      </w:r>
      <w:r w:rsidR="004A7894" w:rsidRPr="000803D5">
        <w:t xml:space="preserve"> 1</w:t>
      </w:r>
      <w:r w:rsidRPr="000803D5">
        <w:t xml:space="preserve"> do provozu za podmínek stavebního zákona</w:t>
      </w:r>
      <w:r w:rsidR="00582C15" w:rsidRPr="000803D5">
        <w:t xml:space="preserve"> a </w:t>
      </w:r>
      <w:r w:rsidRPr="000803D5">
        <w:t>zákona</w:t>
      </w:r>
      <w:r w:rsidR="00582C15" w:rsidRPr="000803D5">
        <w:t xml:space="preserve"> o </w:t>
      </w:r>
      <w:r w:rsidRPr="000803D5">
        <w:t xml:space="preserve">drahách nejpozději do </w:t>
      </w:r>
      <w:r w:rsidR="004A7894" w:rsidRPr="000803D5">
        <w:rPr>
          <w:b/>
        </w:rPr>
        <w:t>21</w:t>
      </w:r>
      <w:r w:rsidRPr="000803D5">
        <w:rPr>
          <w:b/>
        </w:rPr>
        <w:t xml:space="preserve"> měsíců </w:t>
      </w:r>
      <w:r w:rsidRPr="000803D5">
        <w:t xml:space="preserve">od Data zahájení prací </w:t>
      </w:r>
      <w:r w:rsidR="000803D5" w:rsidRPr="000803D5">
        <w:t xml:space="preserve">vyjma následné směrové a výškové úpravy kolejí, které bude provedeno nejpozději do </w:t>
      </w:r>
      <w:r w:rsidR="000803D5" w:rsidRPr="000803D5">
        <w:rPr>
          <w:b/>
        </w:rPr>
        <w:t>6 měsíců</w:t>
      </w:r>
      <w:r w:rsidR="000803D5" w:rsidRPr="000803D5">
        <w:t xml:space="preserve"> od Doby pro uvedení do provozu Sekce 1</w:t>
      </w:r>
      <w:r w:rsidR="00752D69">
        <w:t xml:space="preserve"> stavební</w:t>
      </w:r>
      <w:r w:rsidR="000803D5" w:rsidRPr="000803D5">
        <w:t>.</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1D386FBE"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w:t>
      </w:r>
      <w:r w:rsidRPr="000803D5">
        <w:t>žádost za stejných podmínek.  Zálohová platba může být poskytnuta opakovaně, avšak vždy maximálně ve výši rovnající se smluvní hodnotě prací předpokládaných</w:t>
      </w:r>
      <w:r w:rsidR="00582C15" w:rsidRPr="000803D5">
        <w:t xml:space="preserve"> k </w:t>
      </w:r>
      <w:r w:rsidRPr="000803D5">
        <w:t xml:space="preserve">realizaci pro příslušné po sobě jdoucí 3 kalendářní měsíce dle podrobného Harmonogramu, max. však vždy ve výši rovnající se </w:t>
      </w:r>
      <w:r w:rsidR="000803D5" w:rsidRPr="000803D5">
        <w:t>20</w:t>
      </w:r>
      <w:r w:rsidRPr="000803D5">
        <w:t xml:space="preserve"> % smluvní hodnoty prací předpokládaných</w:t>
      </w:r>
      <w:r w:rsidR="00582C15" w:rsidRPr="000803D5">
        <w:t xml:space="preserve"> k </w:t>
      </w:r>
      <w:r w:rsidRPr="000803D5">
        <w:t>realizaci pro příslušný kalendářní rok dle podrobného Harmonogramu [8.3 Harmonogram]</w:t>
      </w:r>
      <w:r w:rsidR="00582C15" w:rsidRPr="000803D5">
        <w:t xml:space="preserve"> a </w:t>
      </w:r>
      <w:r w:rsidRPr="000803D5">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w:t>
      </w:r>
      <w:r>
        <w:t xml:space="preserve">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7AC57319"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w:t>
      </w:r>
      <w:r w:rsidR="00904AE8">
        <w:t xml:space="preserve">žené zálohované </w:t>
      </w:r>
      <w:r w:rsidR="00904AE8" w:rsidRPr="00BC3D29">
        <w:t>období dle bod a)</w:t>
      </w:r>
      <w:r w:rsidRPr="00BC3D29">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DE2DB3E" w14:textId="0BC3BD8F" w:rsidR="00C96E7C" w:rsidRPr="00322AA5" w:rsidRDefault="00C96E7C" w:rsidP="00582C15">
      <w:pPr>
        <w:pStyle w:val="Textbezodsaze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70EB96C0"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železniční svršek (části, které nejsou dodávané objednatelem z CNM, např. výhybky, výhybkové pražce, drobné kolejivo);</w:t>
      </w:r>
    </w:p>
    <w:p w14:paraId="19032742"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železniční spodek (např. izolační systémy, prefabrikované konstrukce nástupišť);</w:t>
      </w:r>
    </w:p>
    <w:p w14:paraId="2905CAD9"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kabelovody (např. komponenty kabelových tras, multikanálové dílce, izolační systémy);</w:t>
      </w:r>
    </w:p>
    <w:p w14:paraId="5E439F54"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mosty, propustky a zdi (materiálové části objektů, např. ocelové výztužné prvky nosných konstrukcí, prefabrikované konstrukce, vybavení mostních objektů, izolační systémy);</w:t>
      </w:r>
    </w:p>
    <w:p w14:paraId="634431B4"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trakce (např. sloupy a stožáry TV, trolejové dráty, nosná lana, odpojovače, vodiče, ukolejnění);</w:t>
      </w:r>
    </w:p>
    <w:p w14:paraId="4A33BE93"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elektro (např. rozvaděče, měnírny, transformátory, kabelové vedení, komponenty DDTS, materiál pro elektrické rozvody, zařízení EOV);</w:t>
      </w:r>
    </w:p>
    <w:p w14:paraId="3E22F4BB"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zabezpečovací zařízení (např. skříně vnitřní výstroje elektronického stavědla, zařízení GTN, skříně DOZ, napájecí zdroje, elektromotorické přestavníky, návěstidla, venkovní výstroj KO a PčN, kabelové vedení, snímače);</w:t>
      </w:r>
    </w:p>
    <w:p w14:paraId="5E136FEA"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sdělovací zařízení (např. telefonní ústředny, rozhlasové ústředny, informační systémy, přenosový systém [switche, routery, převodníky], kamerový systém, ASHS, EZS, kabelové vedení);</w:t>
      </w:r>
    </w:p>
    <w:p w14:paraId="2AB956E0"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železní přejezdy (např. výstražníky, sloupky, konstrukce vozovky);</w:t>
      </w:r>
    </w:p>
    <w:p w14:paraId="23469450"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pozemní objekty (např. izolační systémy, materiál obvodových stěn, výplně otvorů, krytiny, vybavení objektů, klempířské konstrukce);</w:t>
      </w:r>
    </w:p>
    <w:p w14:paraId="65B478BB"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protihlukové objekty (např. části PHS jako sloupky, výplně, klempířské konstrukce, ukolejnění);</w:t>
      </w:r>
    </w:p>
    <w:p w14:paraId="57889C90" w14:textId="77777777" w:rsidR="00752D69" w:rsidRPr="00752D69" w:rsidRDefault="00752D69" w:rsidP="00752D69">
      <w:pPr>
        <w:numPr>
          <w:ilvl w:val="0"/>
          <w:numId w:val="49"/>
        </w:numPr>
        <w:spacing w:after="120" w:line="264" w:lineRule="auto"/>
        <w:jc w:val="both"/>
        <w:rPr>
          <w:i/>
          <w:iCs/>
          <w:sz w:val="18"/>
          <w:szCs w:val="18"/>
        </w:rPr>
      </w:pPr>
      <w:r w:rsidRPr="00752D69">
        <w:rPr>
          <w:i/>
          <w:iCs/>
          <w:sz w:val="18"/>
          <w:szCs w:val="18"/>
        </w:rPr>
        <w:t>pozemní komunikace (např. části odvodnění, konstrukcí vrstvy, bezpečnostní prvky).</w:t>
      </w:r>
    </w:p>
    <w:p w14:paraId="2EEB191B" w14:textId="77777777" w:rsidR="00752D69" w:rsidRPr="00752D69" w:rsidRDefault="00752D69" w:rsidP="00752D69">
      <w:pPr>
        <w:overflowPunct w:val="0"/>
        <w:autoSpaceDE w:val="0"/>
        <w:autoSpaceDN w:val="0"/>
        <w:spacing w:after="0" w:line="240" w:lineRule="auto"/>
        <w:ind w:left="1125"/>
        <w:contextualSpacing/>
        <w:rPr>
          <w:rFonts w:asciiTheme="minorHAnsi" w:eastAsia="Calibri" w:hAnsiTheme="minorHAnsi" w:cs="Times New Roman"/>
          <w:color w:val="FF0000"/>
          <w:sz w:val="18"/>
          <w:szCs w:val="18"/>
          <w:highlight w:val="green"/>
          <w:lang w:eastAsia="cs-CZ"/>
        </w:rPr>
      </w:pPr>
    </w:p>
    <w:p w14:paraId="3301BAB5" w14:textId="0622F959" w:rsidR="00BF5233" w:rsidRPr="00C732F0" w:rsidRDefault="00752D69" w:rsidP="00752D69">
      <w:pPr>
        <w:pStyle w:val="Textbezodsazen"/>
        <w:rPr>
          <w:highlight w:val="green"/>
        </w:rPr>
      </w:pPr>
      <w:r w:rsidRPr="00752D69">
        <w:rPr>
          <w:rFonts w:asciiTheme="minorHAnsi" w:eastAsia="Calibri" w:hAnsiTheme="minorHAnsi" w:cs="Calibri"/>
        </w:rPr>
        <w:t>Platbu za Technologická zařízení a Materiály v jednotlivých letech výstavby lze uplatnit pouze na Pokyn Správce stavby nebo s jeho souhlasem.</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4D83A3B2" w:rsidR="00E30C41"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4E2BC692" w14:textId="7B5E9636" w:rsidR="006E7344" w:rsidRPr="00A10EEB" w:rsidRDefault="006E7344" w:rsidP="00E30C41">
      <w:pPr>
        <w:spacing w:after="240" w:line="264" w:lineRule="auto"/>
        <w:jc w:val="both"/>
        <w:rPr>
          <w:rFonts w:asciiTheme="minorHAnsi" w:hAnsiTheme="minorHAnsi"/>
          <w:sz w:val="18"/>
          <w:szCs w:val="18"/>
        </w:rPr>
      </w:pPr>
      <w:r w:rsidRPr="006E7344">
        <w:rPr>
          <w:rFonts w:asciiTheme="minorHAnsi" w:hAnsiTheme="minorHAnsi"/>
          <w:sz w:val="18"/>
          <w:szCs w:val="18"/>
        </w:rPr>
        <w:t xml:space="preserve">(g) neprokáže znovu splnění </w:t>
      </w:r>
      <w:r w:rsidRPr="00D36E20">
        <w:rPr>
          <w:rFonts w:asciiTheme="minorHAnsi" w:hAnsiTheme="minorHAnsi"/>
          <w:sz w:val="18"/>
          <w:szCs w:val="18"/>
        </w:rPr>
        <w:t xml:space="preserve">kvalifikace po změně v osobě Zhotovitele podle </w:t>
      </w:r>
      <w:r w:rsidRPr="006E7344">
        <w:rPr>
          <w:rFonts w:asciiTheme="minorHAnsi" w:hAnsiTheme="minorHAnsi"/>
          <w:sz w:val="18"/>
          <w:szCs w:val="18"/>
        </w:rPr>
        <w:t>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162B7C2"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0BF557E7" w:rsidR="00E30C41"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w:t>
      </w:r>
      <w:r w:rsidR="00BC3D29">
        <w:rPr>
          <w:rFonts w:asciiTheme="minorHAnsi" w:hAnsiTheme="minorHAnsi"/>
          <w:sz w:val="18"/>
          <w:szCs w:val="18"/>
        </w:rPr>
        <w:t xml:space="preserve"> </w:t>
      </w:r>
      <w:bookmarkStart w:id="0" w:name="_GoBack"/>
      <w:bookmarkEnd w:id="0"/>
      <w:r w:rsidRPr="00A10EEB">
        <w:rPr>
          <w:rFonts w:asciiTheme="minorHAnsi" w:hAnsiTheme="minorHAnsi"/>
          <w:sz w:val="18"/>
          <w:szCs w:val="18"/>
        </w:rPr>
        <w:t>(d) se ruší a nahrazuje textem:</w:t>
      </w:r>
    </w:p>
    <w:p w14:paraId="72BDD5A0" w14:textId="3E938ACA" w:rsidR="00603B0F" w:rsidRPr="00A10EEB" w:rsidRDefault="00603B0F" w:rsidP="00E30C41">
      <w:pPr>
        <w:spacing w:after="240" w:line="264" w:lineRule="auto"/>
        <w:jc w:val="both"/>
        <w:rPr>
          <w:rFonts w:asciiTheme="minorHAnsi" w:hAnsiTheme="minorHAnsi"/>
          <w:sz w:val="18"/>
          <w:szCs w:val="18"/>
        </w:rPr>
      </w:pPr>
      <w:r w:rsidRPr="00D36E20">
        <w:rPr>
          <w:rFonts w:asciiTheme="minorHAnsi" w:hAnsiTheme="minorHAnsi"/>
          <w:sz w:val="18"/>
          <w:szCs w:val="18"/>
        </w:rPr>
        <w:t xml:space="preserve">(d) zadá celé Dílo podzhotoviteli, postoupí Smlouvu </w:t>
      </w:r>
      <w:r w:rsidR="00306FC1" w:rsidRPr="00D36E20">
        <w:rPr>
          <w:rFonts w:asciiTheme="minorHAnsi" w:hAnsiTheme="minorHAnsi"/>
          <w:sz w:val="18"/>
          <w:szCs w:val="18"/>
        </w:rPr>
        <w:t>bez požadované dohody nebo v příp</w:t>
      </w:r>
      <w:r w:rsidRPr="00D36E20">
        <w:rPr>
          <w:rFonts w:asciiTheme="minorHAnsi" w:hAnsiTheme="minorHAnsi"/>
          <w:sz w:val="18"/>
          <w:szCs w:val="18"/>
        </w:rPr>
        <w:t>adě změny v osobě Zhotovitele nepředloží Objednateli dokumenty dle pod-článku 1.7,</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39545" w14:textId="77777777" w:rsidR="00555E68" w:rsidRDefault="00555E68" w:rsidP="00962258">
      <w:pPr>
        <w:spacing w:after="0" w:line="240" w:lineRule="auto"/>
      </w:pPr>
      <w:r>
        <w:separator/>
      </w:r>
    </w:p>
  </w:endnote>
  <w:endnote w:type="continuationSeparator" w:id="0">
    <w:p w14:paraId="1866F6BF" w14:textId="77777777" w:rsidR="00555E68" w:rsidRDefault="00555E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1CF825E6"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D2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3D29">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0C4507B7" w:rsidR="00967F7C" w:rsidRPr="003462EB" w:rsidRDefault="00967F7C" w:rsidP="00796DDB">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BC3D29">
            <w:rPr>
              <w:b/>
              <w:noProof/>
            </w:rPr>
            <w:t>Elektrizace trati vč. PEÚ Brno - Zastávka u Brna, 2. etapa</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1ED37CF5"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C3D29">
            <w:rPr>
              <w:b/>
              <w:noProof/>
            </w:rPr>
            <w:t>Elektrizace trati vč. PEÚ Brno - Zastávka u Brna, 2. etapa</w:t>
          </w:r>
          <w:r w:rsidRPr="00967F7C">
            <w:rPr>
              <w:b/>
              <w:noProof/>
            </w:rPr>
            <w:fldChar w:fldCharType="end"/>
          </w:r>
        </w:p>
      </w:tc>
      <w:tc>
        <w:tcPr>
          <w:tcW w:w="1021" w:type="dxa"/>
          <w:vAlign w:val="bottom"/>
        </w:tcPr>
        <w:p w14:paraId="63EFD5E7" w14:textId="494F43A7"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3D2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3D29">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3FECB" w14:textId="77777777" w:rsidR="00555E68" w:rsidRDefault="00555E68" w:rsidP="00962258">
      <w:pPr>
        <w:spacing w:after="0" w:line="240" w:lineRule="auto"/>
      </w:pPr>
      <w:r>
        <w:separator/>
      </w:r>
    </w:p>
  </w:footnote>
  <w:footnote w:type="continuationSeparator" w:id="0">
    <w:p w14:paraId="75B952CF" w14:textId="77777777" w:rsidR="00555E68" w:rsidRDefault="00555E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3076"/>
    <w:rsid w:val="00030170"/>
    <w:rsid w:val="00041EC8"/>
    <w:rsid w:val="00044C35"/>
    <w:rsid w:val="000543DB"/>
    <w:rsid w:val="000550A4"/>
    <w:rsid w:val="0006588D"/>
    <w:rsid w:val="00067A5E"/>
    <w:rsid w:val="000719BB"/>
    <w:rsid w:val="00071A0E"/>
    <w:rsid w:val="00072A65"/>
    <w:rsid w:val="00072C1E"/>
    <w:rsid w:val="00073857"/>
    <w:rsid w:val="000803D5"/>
    <w:rsid w:val="00080EC0"/>
    <w:rsid w:val="000B4EB8"/>
    <w:rsid w:val="000C40E5"/>
    <w:rsid w:val="000C41F2"/>
    <w:rsid w:val="000D22C4"/>
    <w:rsid w:val="000D27D1"/>
    <w:rsid w:val="000D3C7E"/>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06FC1"/>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82EB1"/>
    <w:rsid w:val="00483969"/>
    <w:rsid w:val="00486107"/>
    <w:rsid w:val="00491827"/>
    <w:rsid w:val="004A7894"/>
    <w:rsid w:val="004C4399"/>
    <w:rsid w:val="004C4830"/>
    <w:rsid w:val="004C6F56"/>
    <w:rsid w:val="004C787C"/>
    <w:rsid w:val="004D4B84"/>
    <w:rsid w:val="004E0643"/>
    <w:rsid w:val="004E3E8F"/>
    <w:rsid w:val="004E7A1F"/>
    <w:rsid w:val="004F4B9B"/>
    <w:rsid w:val="00500582"/>
    <w:rsid w:val="0050666E"/>
    <w:rsid w:val="005075E5"/>
    <w:rsid w:val="00511AB9"/>
    <w:rsid w:val="0051377C"/>
    <w:rsid w:val="00523BB5"/>
    <w:rsid w:val="00523EA7"/>
    <w:rsid w:val="005406EB"/>
    <w:rsid w:val="00553375"/>
    <w:rsid w:val="00555884"/>
    <w:rsid w:val="00555E68"/>
    <w:rsid w:val="00556975"/>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1A8C"/>
    <w:rsid w:val="00603B0F"/>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3F5A"/>
    <w:rsid w:val="006C442A"/>
    <w:rsid w:val="006C482A"/>
    <w:rsid w:val="006C5D15"/>
    <w:rsid w:val="006D37F3"/>
    <w:rsid w:val="006E0578"/>
    <w:rsid w:val="006E13F8"/>
    <w:rsid w:val="006E314D"/>
    <w:rsid w:val="006E7344"/>
    <w:rsid w:val="007047AE"/>
    <w:rsid w:val="00710723"/>
    <w:rsid w:val="00723ED1"/>
    <w:rsid w:val="00726A41"/>
    <w:rsid w:val="00726AFE"/>
    <w:rsid w:val="00740AF5"/>
    <w:rsid w:val="00743525"/>
    <w:rsid w:val="00752D69"/>
    <w:rsid w:val="00752D81"/>
    <w:rsid w:val="007541A2"/>
    <w:rsid w:val="00755818"/>
    <w:rsid w:val="00760F84"/>
    <w:rsid w:val="0076286B"/>
    <w:rsid w:val="00766846"/>
    <w:rsid w:val="0077673A"/>
    <w:rsid w:val="007846E1"/>
    <w:rsid w:val="007847D6"/>
    <w:rsid w:val="00791F16"/>
    <w:rsid w:val="00796DDB"/>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512C"/>
    <w:rsid w:val="008F6D6C"/>
    <w:rsid w:val="008F797B"/>
    <w:rsid w:val="00904780"/>
    <w:rsid w:val="00904AE8"/>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270B"/>
    <w:rsid w:val="00B75EE1"/>
    <w:rsid w:val="00B77481"/>
    <w:rsid w:val="00B8518B"/>
    <w:rsid w:val="00B97CC3"/>
    <w:rsid w:val="00BA0EBA"/>
    <w:rsid w:val="00BB1D19"/>
    <w:rsid w:val="00BB79E8"/>
    <w:rsid w:val="00BC05F2"/>
    <w:rsid w:val="00BC06C4"/>
    <w:rsid w:val="00BC3D29"/>
    <w:rsid w:val="00BD7E91"/>
    <w:rsid w:val="00BD7F0D"/>
    <w:rsid w:val="00BF5233"/>
    <w:rsid w:val="00C02D0A"/>
    <w:rsid w:val="00C038BD"/>
    <w:rsid w:val="00C03A6E"/>
    <w:rsid w:val="00C12C1E"/>
    <w:rsid w:val="00C21179"/>
    <w:rsid w:val="00C226C0"/>
    <w:rsid w:val="00C2298F"/>
    <w:rsid w:val="00C23A73"/>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20"/>
    <w:rsid w:val="00D36EA0"/>
    <w:rsid w:val="00D4108E"/>
    <w:rsid w:val="00D435C3"/>
    <w:rsid w:val="00D45E4C"/>
    <w:rsid w:val="00D54131"/>
    <w:rsid w:val="00D6163D"/>
    <w:rsid w:val="00D81A0E"/>
    <w:rsid w:val="00D831A3"/>
    <w:rsid w:val="00D90D67"/>
    <w:rsid w:val="00D975AB"/>
    <w:rsid w:val="00D97BE3"/>
    <w:rsid w:val="00DA3711"/>
    <w:rsid w:val="00DA47EF"/>
    <w:rsid w:val="00DA53DF"/>
    <w:rsid w:val="00DB160C"/>
    <w:rsid w:val="00DC0FD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796DDB"/>
    <w:rPr>
      <w:color w:val="808080"/>
    </w:rPr>
  </w:style>
  <w:style w:type="table" w:customStyle="1" w:styleId="Tabulka11">
    <w:name w:val="_Tabulka_11"/>
    <w:basedOn w:val="Mkatabulky"/>
    <w:uiPriority w:val="99"/>
    <w:rsid w:val="00796DD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ridel@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atschke@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546E40"/>
    <w:rsid w:val="005701B9"/>
    <w:rsid w:val="006527E6"/>
    <w:rsid w:val="00676F10"/>
    <w:rsid w:val="00714028"/>
    <w:rsid w:val="00876B24"/>
    <w:rsid w:val="0096090C"/>
    <w:rsid w:val="009B79D6"/>
    <w:rsid w:val="00A43268"/>
    <w:rsid w:val="00A61422"/>
    <w:rsid w:val="00B90CC6"/>
    <w:rsid w:val="00BC6E2B"/>
    <w:rsid w:val="00CA70E8"/>
    <w:rsid w:val="00CF4DD3"/>
    <w:rsid w:val="00D34D92"/>
    <w:rsid w:val="00D36C36"/>
    <w:rsid w:val="00D7712A"/>
    <w:rsid w:val="00DD47A2"/>
    <w:rsid w:val="00DF48D6"/>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35E0605-4097-4DAE-BF3D-B4404017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1129</TotalTime>
  <Pages>10</Pages>
  <Words>3784</Words>
  <Characters>22332</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74</cp:revision>
  <cp:lastPrinted>2020-07-17T09:18:00Z</cp:lastPrinted>
  <dcterms:created xsi:type="dcterms:W3CDTF">2020-02-11T08:48:00Z</dcterms:created>
  <dcterms:modified xsi:type="dcterms:W3CDTF">2021-06-07T06:51:00Z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