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966813" w14:textId="485E4227" w:rsidR="00432191" w:rsidRDefault="00432191" w:rsidP="00432191">
      <w:r>
        <w:t xml:space="preserve">Příloha </w:t>
      </w:r>
      <w:r w:rsidR="00854645">
        <w:t>č. 2</w:t>
      </w:r>
      <w:r>
        <w:t xml:space="preserve"> </w:t>
      </w:r>
      <w:r w:rsidR="00854645">
        <w:t>Rámcové dohody</w:t>
      </w:r>
    </w:p>
    <w:p w14:paraId="2C236709" w14:textId="77777777" w:rsidR="00432191" w:rsidRDefault="00432191" w:rsidP="0079499E">
      <w:pPr>
        <w:pStyle w:val="Nadpis3"/>
        <w:spacing w:before="0"/>
        <w:rPr>
          <w:rFonts w:eastAsia="Times New Roman"/>
        </w:rPr>
      </w:pPr>
    </w:p>
    <w:p w14:paraId="3879037F" w14:textId="5F052EA1" w:rsidR="004176C9" w:rsidRPr="006A1999" w:rsidRDefault="003D244F" w:rsidP="006A199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6A199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BLIŽŠÍ SPECIFIKACE </w:t>
      </w:r>
      <w:r w:rsidR="00432191" w:rsidRPr="006A199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PŘEDMĚTU </w:t>
      </w:r>
      <w:r w:rsidR="00854645" w:rsidRPr="006A199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SLUŽEB</w:t>
      </w:r>
      <w:r w:rsidR="00432191" w:rsidRPr="006A199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</w:t>
      </w:r>
    </w:p>
    <w:p w14:paraId="243CCBC3" w14:textId="77777777" w:rsidR="003D244F" w:rsidRPr="003D244F" w:rsidRDefault="003D244F" w:rsidP="003D244F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Theme="majorHAnsi" w:eastAsia="Calibri" w:hAnsiTheme="majorHAnsi" w:cs="Arial"/>
          <w:sz w:val="24"/>
          <w:szCs w:val="24"/>
        </w:rPr>
      </w:pPr>
    </w:p>
    <w:p w14:paraId="4B61C876" w14:textId="599E2792" w:rsidR="003D244F" w:rsidRPr="006A1999" w:rsidRDefault="003D244F" w:rsidP="003D244F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6A1999">
        <w:rPr>
          <w:rFonts w:eastAsia="Calibri" w:cs="Arial"/>
          <w:b/>
          <w:bCs/>
          <w:color w:val="000000"/>
        </w:rPr>
        <w:t>Předmět služeb</w:t>
      </w:r>
    </w:p>
    <w:p w14:paraId="66A07294" w14:textId="23676804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Předmětem služeb je zajištění školení pro 62 nových a 274 stávajících, tj. 336 interních školitelů včetně ubytování a stravy.</w:t>
      </w:r>
    </w:p>
    <w:p w14:paraId="3458762D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  <w:b/>
          <w:bCs/>
        </w:rPr>
      </w:pPr>
    </w:p>
    <w:p w14:paraId="40BA7118" w14:textId="77777777" w:rsidR="00634DF5" w:rsidRPr="006A1999" w:rsidRDefault="00634DF5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6A1999">
        <w:rPr>
          <w:rFonts w:eastAsia="Calibri" w:cs="Arial"/>
          <w:b/>
          <w:bCs/>
          <w:color w:val="000000"/>
        </w:rPr>
        <w:t>Cílová skupina</w:t>
      </w:r>
    </w:p>
    <w:p w14:paraId="4B9169E7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Cílovou skupinou jsou:</w:t>
      </w:r>
    </w:p>
    <w:p w14:paraId="2498A800" w14:textId="77777777" w:rsidR="00634DF5" w:rsidRPr="006A1999" w:rsidRDefault="00634DF5" w:rsidP="00634DF5">
      <w:pPr>
        <w:numPr>
          <w:ilvl w:val="0"/>
          <w:numId w:val="41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 xml:space="preserve">zaměstnanci Objednatele (dále též „účastníci“), kteří se na pedagogickou činnost připravují, </w:t>
      </w:r>
    </w:p>
    <w:p w14:paraId="0F71BCC1" w14:textId="77777777" w:rsidR="00634DF5" w:rsidRPr="006A1999" w:rsidRDefault="00634DF5" w:rsidP="00634DF5">
      <w:pPr>
        <w:numPr>
          <w:ilvl w:val="0"/>
          <w:numId w:val="41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stávající interní lektoři, kteří se podílejí na vzdělávání v rámci předpisu SŽ Zam1. Většina interních školitelů má zkušenosti se vzděláváním dospělých, ale cítí potřebu „</w:t>
      </w:r>
      <w:proofErr w:type="spellStart"/>
      <w:r w:rsidRPr="006A1999">
        <w:rPr>
          <w:rFonts w:eastAsia="Calibri" w:cs="Arial"/>
        </w:rPr>
        <w:t>refreshmentu</w:t>
      </w:r>
      <w:proofErr w:type="spellEnd"/>
      <w:r w:rsidRPr="006A1999">
        <w:rPr>
          <w:rFonts w:eastAsia="Calibri" w:cs="Arial"/>
        </w:rPr>
        <w:t>“ dříve získaných dovedností a nové inspirace pro svůj další profesní rozvoj,</w:t>
      </w:r>
    </w:p>
    <w:p w14:paraId="1962E6CC" w14:textId="77777777" w:rsidR="00634DF5" w:rsidRPr="006A1999" w:rsidRDefault="00634DF5" w:rsidP="00634DF5">
      <w:pPr>
        <w:numPr>
          <w:ilvl w:val="0"/>
          <w:numId w:val="41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noví zájemci, kteří mají o program zájem,</w:t>
      </w:r>
    </w:p>
    <w:p w14:paraId="023CD9CF" w14:textId="77777777" w:rsidR="00634DF5" w:rsidRPr="006A1999" w:rsidRDefault="00634DF5" w:rsidP="00634DF5">
      <w:pPr>
        <w:numPr>
          <w:ilvl w:val="0"/>
          <w:numId w:val="41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metodici za stranu Objednatele, kteří se budou vždy po jednom účastnit každého kurzu.</w:t>
      </w:r>
    </w:p>
    <w:p w14:paraId="737C886D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0B8AC094" w14:textId="77777777" w:rsidR="00634DF5" w:rsidRPr="006A1999" w:rsidRDefault="00634DF5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6A1999">
        <w:rPr>
          <w:rFonts w:eastAsia="Calibri" w:cs="Arial"/>
          <w:b/>
          <w:bCs/>
          <w:color w:val="000000"/>
        </w:rPr>
        <w:t>Cíl</w:t>
      </w:r>
    </w:p>
    <w:p w14:paraId="647991F3" w14:textId="4277BA1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Hlavním cílem projektu je vytvořit ucelený blok aktivit, který umožní zvýšit lektorské kompetence interních lektorů Objednatele. Kurz bude komplexně zaměřen na rozšíření znalostí a osvojení nových metod v této oblasti.</w:t>
      </w:r>
    </w:p>
    <w:p w14:paraId="26E1166F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24265D2B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Dalším cílem je získání a prohloubení znalostí v nejnovějších oblastech vzdělávání dospělých a skloubení teorie s praxí. Zaměstnanci Objednatele se především seznámí s novými trendy v této oblasti. Ověří si, zda je jejich přístup k profesnímu rozvoji (školení /tréninku) správný a efektivní, a prakticky si osvojí nové dovednosti v poměru 50 na 50 teorie a praxe. Využijí zpětnou vazbu ke svému dalšímu zlepšení.</w:t>
      </w:r>
    </w:p>
    <w:p w14:paraId="6ED100FA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  <w:b/>
          <w:bCs/>
        </w:rPr>
      </w:pPr>
    </w:p>
    <w:p w14:paraId="631F6629" w14:textId="77777777" w:rsidR="00634DF5" w:rsidRPr="006A1999" w:rsidRDefault="00634DF5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6A1999">
        <w:rPr>
          <w:rFonts w:eastAsia="Calibri" w:cs="Arial"/>
          <w:b/>
          <w:bCs/>
          <w:color w:val="000000"/>
        </w:rPr>
        <w:t>Počet osob</w:t>
      </w:r>
    </w:p>
    <w:p w14:paraId="469F301A" w14:textId="6BE511AD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celkem 364 osob rozdělených podle pedagogických zkušeností včetně metodiků</w:t>
      </w:r>
    </w:p>
    <w:p w14:paraId="64051CED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2 skupiny – základní kurz a opakovací kurz</w:t>
      </w:r>
    </w:p>
    <w:p w14:paraId="333394E1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5CE33AFA" w14:textId="77777777" w:rsidR="00634DF5" w:rsidRPr="006A1999" w:rsidRDefault="00634DF5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6A1999">
        <w:rPr>
          <w:rFonts w:eastAsia="Calibri" w:cs="Arial"/>
          <w:b/>
          <w:bCs/>
          <w:color w:val="000000"/>
        </w:rPr>
        <w:t>Forma a typ kurzu</w:t>
      </w:r>
    </w:p>
    <w:p w14:paraId="145A6E5A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prezenční, uzavřený</w:t>
      </w:r>
    </w:p>
    <w:p w14:paraId="6C482AE4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27A24F83" w14:textId="77777777" w:rsidR="00634DF5" w:rsidRPr="006A1999" w:rsidRDefault="00634DF5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6A1999">
        <w:rPr>
          <w:rFonts w:eastAsia="Calibri" w:cs="Arial"/>
          <w:b/>
          <w:bCs/>
          <w:color w:val="000000"/>
        </w:rPr>
        <w:t>Délka kurzu</w:t>
      </w:r>
    </w:p>
    <w:p w14:paraId="18D1109C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pro základní kurz 5 po sobě jdoucích výukových dní/ 40 h/1 skupina do 13 osob (z toho 12 účastníků + 1 metodik)</w:t>
      </w:r>
    </w:p>
    <w:p w14:paraId="2776F71B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pro opakovací kurz 3 po sobě jdoucí výukové dny/ 24 h/1 skupina do 13 osob (z toho 12 účastníků + 1 metodik)</w:t>
      </w:r>
    </w:p>
    <w:p w14:paraId="19F296C2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jeden výukový den má 8 hodin včetně 30 min přestávky na oběd a 2 svačinových přestávek po 15 minutách.</w:t>
      </w:r>
    </w:p>
    <w:p w14:paraId="0A8E630D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6303E29D" w14:textId="77777777" w:rsidR="00C44608" w:rsidRPr="006A1999" w:rsidRDefault="00C44608" w:rsidP="00634DF5">
      <w:pPr>
        <w:spacing w:after="0" w:line="240" w:lineRule="auto"/>
        <w:jc w:val="both"/>
        <w:rPr>
          <w:rFonts w:eastAsia="Calibri" w:cs="Arial"/>
        </w:rPr>
      </w:pPr>
    </w:p>
    <w:p w14:paraId="137AA3A5" w14:textId="77777777" w:rsidR="00634DF5" w:rsidRPr="006A1999" w:rsidRDefault="00634DF5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6A1999">
        <w:rPr>
          <w:rFonts w:eastAsia="Calibri" w:cs="Arial"/>
          <w:b/>
          <w:bCs/>
          <w:color w:val="000000"/>
        </w:rPr>
        <w:t>Počet kurzů a výukových dní</w:t>
      </w:r>
    </w:p>
    <w:p w14:paraId="62E4B413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12 základních/ 60 dní/ 156 osob včetně metodiků s předpokladem 3 kurzů za 1 rok</w:t>
      </w:r>
    </w:p>
    <w:p w14:paraId="7ADD3383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16 opakovacích/ 48 dní/ 208 osob včetně metodiků s předpokladem 4 kurzů za 1 rok</w:t>
      </w:r>
    </w:p>
    <w:p w14:paraId="130E170A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celkem 108 výukových dní/ 364 osob</w:t>
      </w:r>
    </w:p>
    <w:p w14:paraId="1E968438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0F5B2AEB" w14:textId="77777777" w:rsidR="00634DF5" w:rsidRPr="006A1999" w:rsidRDefault="00634DF5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6A1999">
        <w:rPr>
          <w:rFonts w:eastAsia="Calibri" w:cs="Arial"/>
          <w:b/>
          <w:bCs/>
          <w:color w:val="000000"/>
        </w:rPr>
        <w:lastRenderedPageBreak/>
        <w:t xml:space="preserve">Požadovaný obsah kurzů </w:t>
      </w:r>
    </w:p>
    <w:p w14:paraId="378A334B" w14:textId="77777777" w:rsidR="00634DF5" w:rsidRPr="006A1999" w:rsidRDefault="00634DF5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6A1999">
        <w:rPr>
          <w:rFonts w:eastAsia="Calibri" w:cs="Arial"/>
          <w:b/>
          <w:bCs/>
          <w:color w:val="000000"/>
        </w:rPr>
        <w:t>Pro základní kurz – 5denní</w:t>
      </w:r>
    </w:p>
    <w:p w14:paraId="4BDE8762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32FC8ADA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SPECIFIKA PŘÍPRAVY A VEDENÍ KURZŮ</w:t>
      </w:r>
    </w:p>
    <w:p w14:paraId="1D679547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didaktické zásady v praxi</w:t>
      </w:r>
    </w:p>
    <w:p w14:paraId="29D69498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MĚKKÉ KOMPETENCE interního lektora</w:t>
      </w:r>
    </w:p>
    <w:p w14:paraId="280F4FDB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komunikační dovednosti (verbální a neverbální komunikace, rétorika)</w:t>
      </w:r>
    </w:p>
    <w:p w14:paraId="6E7746B8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sociální vnímání a práce s publikem</w:t>
      </w:r>
    </w:p>
    <w:p w14:paraId="70E0E997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prezentační dovednosti (příprava a realizace prezentace, názornost v prezentaci)</w:t>
      </w:r>
    </w:p>
    <w:p w14:paraId="7F6E43A8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SPECIFICKÉ KOMPETENCE interního lektora</w:t>
      </w:r>
    </w:p>
    <w:p w14:paraId="44268356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zvládání obtížných situací lektora (zvládání náročných situací, zvládání konfliktů, manipulace, sebeprezentace)</w:t>
      </w:r>
    </w:p>
    <w:p w14:paraId="14894519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sebeřízení lektora (řízení stresu, řízení a organizace času, sebepoznání a sebereflexe)</w:t>
      </w:r>
    </w:p>
    <w:p w14:paraId="712C952A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co poškozuje image lektora</w:t>
      </w:r>
    </w:p>
    <w:p w14:paraId="5663583A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ODBORNÉ KOMPETENCE interního lektora</w:t>
      </w:r>
    </w:p>
    <w:p w14:paraId="3C3C9F88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specifika vzdělávání dospělých (vzdělávací obsah, didaktické principy, hodnocení a zpětná vazba)</w:t>
      </w:r>
    </w:p>
    <w:p w14:paraId="7CC104E9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vzdělávací metody nové generace</w:t>
      </w:r>
    </w:p>
    <w:p w14:paraId="13E65D0D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inovativní formy výuky</w:t>
      </w:r>
    </w:p>
    <w:p w14:paraId="078C7FB0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úloha vizualizace (volba vhodného prezentačního SW, volba média/ technického prezentačního prostředku, práce s pomůckami)</w:t>
      </w:r>
    </w:p>
    <w:p w14:paraId="340B2CC0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rozdíly mezi prezentací lektora a podkladovými materiály pro účastníky</w:t>
      </w:r>
    </w:p>
    <w:p w14:paraId="2BC082DD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 xml:space="preserve">POWERPOINT A PRÁCE S INTERAKTIVNÍ TABULÍ </w:t>
      </w:r>
    </w:p>
    <w:p w14:paraId="13692C35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VIDEO TRÉNINK LEKTORSKÝCH DOVEDNOSTÍ</w:t>
      </w:r>
    </w:p>
    <w:p w14:paraId="44D1B183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nácvik technik na kameru (využití vlastních předností a rezerv)</w:t>
      </w:r>
    </w:p>
    <w:p w14:paraId="3B93DAA3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improvizační techniky</w:t>
      </w:r>
    </w:p>
    <w:p w14:paraId="32377635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individuální zpětná vazba (detailní rozbor návyků lektora, doporučení, jak dále rozvíjet své schopnosti)</w:t>
      </w:r>
    </w:p>
    <w:p w14:paraId="14BEA4AD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TIPY, TRIKY, DOTAZY, DISKUZE</w:t>
      </w:r>
    </w:p>
    <w:p w14:paraId="70C03705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190BA12C" w14:textId="77777777" w:rsidR="00634DF5" w:rsidRPr="006A1999" w:rsidRDefault="00634DF5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6A1999">
        <w:rPr>
          <w:rFonts w:eastAsia="Calibri" w:cs="Arial"/>
          <w:b/>
          <w:bCs/>
          <w:color w:val="000000"/>
        </w:rPr>
        <w:t>Pro opakovací kurz – 3denní</w:t>
      </w:r>
    </w:p>
    <w:p w14:paraId="6E32CD41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MĚKKÉ KOMPETENCE interního lektora</w:t>
      </w:r>
    </w:p>
    <w:p w14:paraId="2DF92043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komunikační dovednosti (verbální a neverbální komunikace, rétorika)</w:t>
      </w:r>
    </w:p>
    <w:p w14:paraId="495788AD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sociální vnímání a práce s publikem</w:t>
      </w:r>
    </w:p>
    <w:p w14:paraId="3E2322A0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prezentační dovednosti (příprava a realizace prezentace, názornost v prezentaci)</w:t>
      </w:r>
    </w:p>
    <w:p w14:paraId="64F41C6E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ODBORNÉ KOMPETENCE interního lektora</w:t>
      </w:r>
    </w:p>
    <w:p w14:paraId="03F38CAB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specifika vzdělávání dospělých (vzdělávací obsah, didaktické principy, hodnocení a zpětná vazba)</w:t>
      </w:r>
    </w:p>
    <w:p w14:paraId="31683465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vzdělávací metody nové generace</w:t>
      </w:r>
    </w:p>
    <w:p w14:paraId="05AEC9FB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inovativní formy výuky</w:t>
      </w:r>
    </w:p>
    <w:p w14:paraId="1D875A02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úloha vizualizace (volba vhodného prezentačního SW, volba média/ technického prezentačního prostředku, práce s pomůckami)</w:t>
      </w:r>
    </w:p>
    <w:p w14:paraId="6C94BE90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rozdíly mezi prezentací lektora a podkladovými materiály pro účastníky</w:t>
      </w:r>
    </w:p>
    <w:p w14:paraId="215F913A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POWERPOINT A PRÁCE S INTERAKTIVNÍ TABULÍ</w:t>
      </w:r>
    </w:p>
    <w:p w14:paraId="6A531BBC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VIDEO TRÉNINK LEKTORSKÝCH DOVEDNOSTÍ</w:t>
      </w:r>
    </w:p>
    <w:p w14:paraId="115BE7F2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nácvik technik na kameru (využití vlastních předností a rezerv)</w:t>
      </w:r>
    </w:p>
    <w:p w14:paraId="0DDDF0EE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improvizační techniky</w:t>
      </w:r>
    </w:p>
    <w:p w14:paraId="16708EEA" w14:textId="77777777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individuální zpětná vazba (detailní rozbor návyků lektora, doporučení, jak dále rozvíjet své schopnosti)</w:t>
      </w:r>
    </w:p>
    <w:p w14:paraId="7727602D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TIPY, TRIKY, DOTAZY, DISKUZE</w:t>
      </w:r>
    </w:p>
    <w:p w14:paraId="6E838356" w14:textId="46525CB3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60BB0C94" w14:textId="77777777" w:rsidR="00634DF5" w:rsidRPr="006A1999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1CF39413" w14:textId="4A833DF7" w:rsidR="00634DF5" w:rsidRPr="006A1999" w:rsidRDefault="008371D1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6A1999">
        <w:rPr>
          <w:rFonts w:eastAsia="Calibri" w:cs="Arial"/>
          <w:b/>
          <w:bCs/>
          <w:color w:val="000000"/>
        </w:rPr>
        <w:t>Další požadavky:</w:t>
      </w:r>
    </w:p>
    <w:p w14:paraId="6E1C2FF2" w14:textId="39770715" w:rsidR="008371D1" w:rsidRPr="006A1999" w:rsidRDefault="008371D1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Každý účastník obdrží studijní materiály v tištěné podobě, Objednatel v elektronické.</w:t>
      </w:r>
    </w:p>
    <w:p w14:paraId="26578B85" w14:textId="694F25BB" w:rsidR="006277B2" w:rsidRPr="006A1999" w:rsidRDefault="006277B2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Poskytovatel je povinen na konci každého kurzu předložit účastníkům kurzu k vyplnění evaluační dotazník. Obsah evaluačních dotazníků podléhá odsouhlasení Objednatelem nejpozději před konáním prvního kurzu.</w:t>
      </w:r>
      <w:r w:rsidR="00165366" w:rsidRPr="006A1999">
        <w:rPr>
          <w:rFonts w:eastAsia="Calibri" w:cs="Arial"/>
        </w:rPr>
        <w:t xml:space="preserve"> </w:t>
      </w:r>
    </w:p>
    <w:p w14:paraId="47846F2C" w14:textId="4C0AB63C" w:rsidR="00634DF5" w:rsidRPr="006A1999" w:rsidRDefault="008371D1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Jeden</w:t>
      </w:r>
      <w:r w:rsidR="00634DF5" w:rsidRPr="006A1999">
        <w:rPr>
          <w:rFonts w:eastAsia="Calibri" w:cs="Arial"/>
        </w:rPr>
        <w:t xml:space="preserve"> celý výukový den bude věnován PowerPointu a práci s interaktivní tabulí (funkční interaktivní tabule je podmínkou vybavení výukové místnosti)</w:t>
      </w:r>
      <w:r w:rsidR="00813AA6" w:rsidRPr="006A1999">
        <w:rPr>
          <w:rFonts w:eastAsia="Calibri" w:cs="Arial"/>
        </w:rPr>
        <w:t>.</w:t>
      </w:r>
    </w:p>
    <w:p w14:paraId="3EA9D5C2" w14:textId="186BCCE1" w:rsidR="00634DF5" w:rsidRPr="006A1999" w:rsidRDefault="008371D1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K</w:t>
      </w:r>
      <w:r w:rsidR="00634DF5" w:rsidRPr="006A1999">
        <w:rPr>
          <w:rFonts w:eastAsia="Calibri" w:cs="Arial"/>
        </w:rPr>
        <w:t xml:space="preserve"> praktickému nácviku a zpětné vazbě bude využívána kamera, kterou zajistí Poskytovatel (souhlas s nahráváním účastníků zajistí Objednatel)</w:t>
      </w:r>
      <w:r w:rsidR="00813AA6" w:rsidRPr="006A1999">
        <w:rPr>
          <w:rFonts w:eastAsia="Calibri" w:cs="Arial"/>
        </w:rPr>
        <w:t>.</w:t>
      </w:r>
    </w:p>
    <w:p w14:paraId="01AE18EB" w14:textId="7A9F8EC7" w:rsidR="008371D1" w:rsidRPr="006A1999" w:rsidRDefault="008371D1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Š</w:t>
      </w:r>
      <w:r w:rsidR="00634DF5" w:rsidRPr="006A1999">
        <w:rPr>
          <w:rFonts w:eastAsia="Calibri" w:cs="Arial"/>
        </w:rPr>
        <w:t>kolení bude zakončeno praktickou zkouškou (test z probrané teorie a vlastní prezentace na kameru)</w:t>
      </w:r>
      <w:r w:rsidR="006277B2" w:rsidRPr="006A1999">
        <w:rPr>
          <w:rFonts w:eastAsia="Calibri" w:cs="Arial"/>
        </w:rPr>
        <w:t>, každý účastník</w:t>
      </w:r>
      <w:r w:rsidR="00B9526C" w:rsidRPr="006A1999">
        <w:rPr>
          <w:rFonts w:eastAsia="Calibri" w:cs="Arial"/>
        </w:rPr>
        <w:t xml:space="preserve"> má složení zkoušky 3 pokusy</w:t>
      </w:r>
      <w:r w:rsidR="00813AA6" w:rsidRPr="006A1999">
        <w:rPr>
          <w:rFonts w:eastAsia="Calibri" w:cs="Arial"/>
        </w:rPr>
        <w:t>.</w:t>
      </w:r>
    </w:p>
    <w:p w14:paraId="147A4719" w14:textId="794173AC" w:rsidR="00634DF5" w:rsidRPr="006A1999" w:rsidRDefault="008371D1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lastRenderedPageBreak/>
        <w:t xml:space="preserve">Každý z účastníků obdrží nejpozději do 5 pracovních dnů od konání kurzu </w:t>
      </w:r>
      <w:r w:rsidR="00634DF5" w:rsidRPr="006A1999">
        <w:rPr>
          <w:rFonts w:eastAsia="Calibri" w:cs="Arial"/>
        </w:rPr>
        <w:t xml:space="preserve">osvědčení o </w:t>
      </w:r>
      <w:r w:rsidRPr="006A1999">
        <w:rPr>
          <w:rFonts w:eastAsia="Calibri" w:cs="Arial"/>
        </w:rPr>
        <w:t xml:space="preserve">jeho </w:t>
      </w:r>
      <w:r w:rsidR="00634DF5" w:rsidRPr="006A1999">
        <w:rPr>
          <w:rFonts w:eastAsia="Calibri" w:cs="Arial"/>
        </w:rPr>
        <w:t>absolvování</w:t>
      </w:r>
      <w:r w:rsidR="00FE76E1" w:rsidRPr="006A1999">
        <w:rPr>
          <w:rFonts w:eastAsia="Calibri" w:cs="Arial"/>
        </w:rPr>
        <w:t xml:space="preserve"> </w:t>
      </w:r>
      <w:r w:rsidR="006277B2" w:rsidRPr="006A1999">
        <w:rPr>
          <w:rFonts w:eastAsia="Calibri" w:cs="Arial"/>
        </w:rPr>
        <w:t xml:space="preserve">v listinné formě </w:t>
      </w:r>
      <w:r w:rsidRPr="006A1999">
        <w:rPr>
          <w:rFonts w:eastAsia="Calibri" w:cs="Arial"/>
        </w:rPr>
        <w:t>a</w:t>
      </w:r>
      <w:r w:rsidR="00652DA1" w:rsidRPr="006A1999">
        <w:rPr>
          <w:rFonts w:eastAsia="Calibri" w:cs="Arial"/>
        </w:rPr>
        <w:t xml:space="preserve"> elektronickou (video) příručku, </w:t>
      </w:r>
      <w:r w:rsidRPr="006A1999">
        <w:rPr>
          <w:rFonts w:eastAsia="Calibri" w:cs="Arial"/>
        </w:rPr>
        <w:t>která bude obsahovat</w:t>
      </w:r>
      <w:r w:rsidR="00652DA1" w:rsidRPr="006A1999">
        <w:rPr>
          <w:rFonts w:eastAsia="Calibri" w:cs="Arial"/>
        </w:rPr>
        <w:t xml:space="preserve"> shrnut</w:t>
      </w:r>
      <w:r w:rsidRPr="006A1999">
        <w:rPr>
          <w:rFonts w:eastAsia="Calibri" w:cs="Arial"/>
        </w:rPr>
        <w:t>í</w:t>
      </w:r>
      <w:r w:rsidR="00652DA1" w:rsidRPr="006A1999">
        <w:rPr>
          <w:rFonts w:eastAsia="Calibri" w:cs="Arial"/>
        </w:rPr>
        <w:t xml:space="preserve"> nejdůležitější zásad pro lektorskou </w:t>
      </w:r>
      <w:r w:rsidRPr="006A1999">
        <w:rPr>
          <w:rFonts w:eastAsia="Calibri" w:cs="Arial"/>
        </w:rPr>
        <w:t>činnost</w:t>
      </w:r>
      <w:r w:rsidR="006277B2" w:rsidRPr="006A1999">
        <w:rPr>
          <w:rFonts w:eastAsia="Calibri" w:cs="Arial"/>
        </w:rPr>
        <w:t xml:space="preserve">. Osvědčení budou předána prostřednictvím kontaktní osoby uvedené v čl. II odst. 3 Rámcové dohody. </w:t>
      </w:r>
    </w:p>
    <w:p w14:paraId="2CB11AE2" w14:textId="786194B2" w:rsidR="00165366" w:rsidRPr="006A1999" w:rsidRDefault="008371D1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P</w:t>
      </w:r>
      <w:r w:rsidR="00634DF5" w:rsidRPr="006A1999">
        <w:rPr>
          <w:rFonts w:eastAsia="Calibri" w:cs="Arial"/>
        </w:rPr>
        <w:t xml:space="preserve">o </w:t>
      </w:r>
      <w:r w:rsidR="006277B2" w:rsidRPr="006A1999">
        <w:rPr>
          <w:rFonts w:eastAsia="Calibri" w:cs="Arial"/>
        </w:rPr>
        <w:t xml:space="preserve">skončení </w:t>
      </w:r>
      <w:r w:rsidR="00634DF5" w:rsidRPr="006A1999">
        <w:rPr>
          <w:rFonts w:eastAsia="Calibri" w:cs="Arial"/>
        </w:rPr>
        <w:t>každé</w:t>
      </w:r>
      <w:r w:rsidR="006277B2" w:rsidRPr="006A1999">
        <w:rPr>
          <w:rFonts w:eastAsia="Calibri" w:cs="Arial"/>
        </w:rPr>
        <w:t>ho</w:t>
      </w:r>
      <w:r w:rsidR="00634DF5" w:rsidRPr="006A1999">
        <w:rPr>
          <w:rFonts w:eastAsia="Calibri" w:cs="Arial"/>
        </w:rPr>
        <w:t xml:space="preserve"> kurzu, Objednatel obdrží do 5 pracovních dnů zpětnou vazbu </w:t>
      </w:r>
      <w:r w:rsidR="00165366" w:rsidRPr="006A1999">
        <w:rPr>
          <w:rFonts w:eastAsia="Calibri" w:cs="Arial"/>
        </w:rPr>
        <w:t xml:space="preserve">včetně </w:t>
      </w:r>
      <w:r w:rsidR="00634DF5" w:rsidRPr="006A1999">
        <w:rPr>
          <w:rFonts w:eastAsia="Calibri" w:cs="Arial"/>
        </w:rPr>
        <w:t>prezenční listin</w:t>
      </w:r>
      <w:r w:rsidR="00165366" w:rsidRPr="006A1999">
        <w:rPr>
          <w:rFonts w:eastAsia="Calibri" w:cs="Arial"/>
        </w:rPr>
        <w:t>y</w:t>
      </w:r>
      <w:r w:rsidR="00634DF5" w:rsidRPr="006A1999">
        <w:rPr>
          <w:rFonts w:eastAsia="Calibri" w:cs="Arial"/>
        </w:rPr>
        <w:t>, evaluační</w:t>
      </w:r>
      <w:r w:rsidR="00165366" w:rsidRPr="006A1999">
        <w:rPr>
          <w:rFonts w:eastAsia="Calibri" w:cs="Arial"/>
        </w:rPr>
        <w:t>ch</w:t>
      </w:r>
      <w:r w:rsidR="00634DF5" w:rsidRPr="006A1999">
        <w:rPr>
          <w:rFonts w:eastAsia="Calibri" w:cs="Arial"/>
        </w:rPr>
        <w:t xml:space="preserve"> dotazník</w:t>
      </w:r>
      <w:r w:rsidR="00165366" w:rsidRPr="006A1999">
        <w:rPr>
          <w:rFonts w:eastAsia="Calibri" w:cs="Arial"/>
        </w:rPr>
        <w:t xml:space="preserve">ů </w:t>
      </w:r>
      <w:r w:rsidR="00634DF5" w:rsidRPr="006A1999">
        <w:rPr>
          <w:rFonts w:eastAsia="Calibri" w:cs="Arial"/>
        </w:rPr>
        <w:t>a zpráv</w:t>
      </w:r>
      <w:r w:rsidR="00165366" w:rsidRPr="006A1999">
        <w:rPr>
          <w:rFonts w:eastAsia="Calibri" w:cs="Arial"/>
        </w:rPr>
        <w:t>y</w:t>
      </w:r>
      <w:r w:rsidR="00634DF5" w:rsidRPr="006A1999">
        <w:rPr>
          <w:rFonts w:eastAsia="Calibri" w:cs="Arial"/>
        </w:rPr>
        <w:t xml:space="preserve"> lektora</w:t>
      </w:r>
      <w:r w:rsidR="00165366" w:rsidRPr="006A1999">
        <w:rPr>
          <w:rFonts w:eastAsia="Calibri" w:cs="Arial"/>
        </w:rPr>
        <w:t>, a to</w:t>
      </w:r>
      <w:r w:rsidR="00634DF5" w:rsidRPr="006A1999">
        <w:rPr>
          <w:rFonts w:eastAsia="Calibri" w:cs="Arial"/>
        </w:rPr>
        <w:t xml:space="preserve"> prostřednictvím emailu</w:t>
      </w:r>
      <w:r w:rsidR="00165366" w:rsidRPr="006A1999">
        <w:rPr>
          <w:rFonts w:eastAsia="Calibri" w:cs="Arial"/>
        </w:rPr>
        <w:t xml:space="preserve"> kontaktní osoby uvedené v čl. II odst. 3 Rámcové dohody</w:t>
      </w:r>
      <w:r w:rsidR="00813AA6" w:rsidRPr="006A1999">
        <w:rPr>
          <w:rFonts w:eastAsia="Calibri" w:cs="Arial"/>
        </w:rPr>
        <w:t>.</w:t>
      </w:r>
      <w:r w:rsidR="00165366" w:rsidRPr="006A1999">
        <w:rPr>
          <w:rFonts w:eastAsia="Calibri" w:cs="Arial"/>
        </w:rPr>
        <w:t xml:space="preserve"> Obsahem zpětné vazby bude zejména:</w:t>
      </w:r>
    </w:p>
    <w:p w14:paraId="56BC02C6" w14:textId="24B9B9EC" w:rsidR="00FE76E1" w:rsidRPr="006A1999" w:rsidRDefault="00752632" w:rsidP="009B3337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s</w:t>
      </w:r>
      <w:r w:rsidR="00165366" w:rsidRPr="006A1999">
        <w:rPr>
          <w:rFonts w:eastAsia="Calibri" w:cs="Arial"/>
        </w:rPr>
        <w:t>tručný průběh vzdělávací akce,</w:t>
      </w:r>
      <w:r w:rsidRPr="006A1999">
        <w:rPr>
          <w:rFonts w:eastAsia="Calibri" w:cs="Arial"/>
        </w:rPr>
        <w:t xml:space="preserve"> zejména</w:t>
      </w:r>
      <w:r w:rsidR="00165366" w:rsidRPr="006A1999">
        <w:rPr>
          <w:rFonts w:eastAsia="Calibri" w:cs="Arial"/>
        </w:rPr>
        <w:t xml:space="preserve"> zda bylo probráno celé téma, event. odchylky od tématu </w:t>
      </w:r>
      <w:r w:rsidRPr="006A1999">
        <w:rPr>
          <w:rFonts w:eastAsia="Calibri" w:cs="Arial"/>
        </w:rPr>
        <w:t>a jejich o</w:t>
      </w:r>
      <w:r w:rsidR="00165366" w:rsidRPr="006A1999">
        <w:rPr>
          <w:rFonts w:eastAsia="Calibri" w:cs="Arial"/>
        </w:rPr>
        <w:t>důvod</w:t>
      </w:r>
      <w:r w:rsidRPr="006A1999">
        <w:rPr>
          <w:rFonts w:eastAsia="Calibri" w:cs="Arial"/>
        </w:rPr>
        <w:t>nění</w:t>
      </w:r>
      <w:r w:rsidR="00165366" w:rsidRPr="006A1999">
        <w:rPr>
          <w:rFonts w:eastAsia="Calibri" w:cs="Arial"/>
        </w:rPr>
        <w:t>.</w:t>
      </w:r>
    </w:p>
    <w:p w14:paraId="041E4B4F" w14:textId="34619CC6" w:rsidR="00752632" w:rsidRPr="006A1999" w:rsidRDefault="00752632" w:rsidP="009B3337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údaj o zařazených praktických cvičeních a dalších aktivních metod výuky</w:t>
      </w:r>
    </w:p>
    <w:p w14:paraId="72313351" w14:textId="425E0509" w:rsidR="00165366" w:rsidRPr="006A1999" w:rsidRDefault="00752632" w:rsidP="009B3337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zhodnocení atmosféry ve skupině, aktivity účastníků apod.</w:t>
      </w:r>
    </w:p>
    <w:p w14:paraId="2BF41438" w14:textId="2B5A6C90" w:rsidR="00752632" w:rsidRPr="006A1999" w:rsidRDefault="00752632" w:rsidP="009B3337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organizační zajištění vzdělávací akce (náměty, připomínky, doporučení k organizačnímu zajištění VA – Vaše vlastní, event. reakce účastníků)</w:t>
      </w:r>
    </w:p>
    <w:p w14:paraId="4703ACEC" w14:textId="0E763B1C" w:rsidR="00752632" w:rsidRPr="006A1999" w:rsidRDefault="00752632" w:rsidP="009B3337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další vzdělávání uvedené skupiny účastníků (doporučení dalšího rozvoje pro jednotlivé účastníky)</w:t>
      </w:r>
    </w:p>
    <w:p w14:paraId="3B2031CC" w14:textId="594D1E28" w:rsidR="00752632" w:rsidRPr="006A1999" w:rsidRDefault="00752632" w:rsidP="009B3337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ostatní náměty a připomínky.</w:t>
      </w:r>
    </w:p>
    <w:p w14:paraId="3CFD055A" w14:textId="52925C2F" w:rsidR="00634DF5" w:rsidRPr="006A1999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Objednatel obdrží dílčí zprávu – hodnocení Poskytovatele vždy za uplynulý měsíc do 10 pracovních dní v měsíci následujícího po měsíci, ve kterém kurzy probíhaly, prostřednictvím emailu. Tato dílčí zpráva – hodnocení Poskytovatele bude vždy součástí vystavené faktury</w:t>
      </w:r>
      <w:r w:rsidR="00813AA6" w:rsidRPr="006A1999">
        <w:rPr>
          <w:rFonts w:eastAsia="Calibri" w:cs="Arial"/>
        </w:rPr>
        <w:t>.</w:t>
      </w:r>
    </w:p>
    <w:p w14:paraId="1D00AC3B" w14:textId="53E76A17" w:rsidR="0095613B" w:rsidRPr="006A1999" w:rsidRDefault="00216DFB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P</w:t>
      </w:r>
      <w:r w:rsidR="00634DF5" w:rsidRPr="006A1999">
        <w:rPr>
          <w:rFonts w:eastAsia="Calibri" w:cs="Arial"/>
        </w:rPr>
        <w:t>o ukončení posledního kurzu pak souhrnné vyhodnocení celého programu do 10 pracovních dní v měsíci následujícího po měsíci, ve kterém proběhly poslední kurzy, a to prostřednictvím emailu</w:t>
      </w:r>
      <w:r w:rsidR="0095613B" w:rsidRPr="006A1999">
        <w:rPr>
          <w:rFonts w:eastAsia="Calibri" w:cs="Arial"/>
        </w:rPr>
        <w:t xml:space="preserve"> kontaktní osoby uvedené v čl. II odst. 3 Rámcové dohody</w:t>
      </w:r>
      <w:r w:rsidR="00634DF5" w:rsidRPr="006A1999">
        <w:rPr>
          <w:rFonts w:eastAsia="Calibri" w:cs="Arial"/>
        </w:rPr>
        <w:t>. Toto souhrnné vyhodnocení bude přílohou faktury vystavené Poskytovatelem</w:t>
      </w:r>
      <w:r w:rsidR="00813AA6" w:rsidRPr="006A1999">
        <w:rPr>
          <w:rFonts w:eastAsia="Calibri" w:cs="Arial"/>
        </w:rPr>
        <w:t>.</w:t>
      </w:r>
      <w:r w:rsidR="0095613B" w:rsidRPr="006A1999">
        <w:rPr>
          <w:rFonts w:eastAsia="Calibri" w:cs="Arial"/>
        </w:rPr>
        <w:t xml:space="preserve"> Obsahem souhrnného vyhodnocení bude zejména: </w:t>
      </w:r>
    </w:p>
    <w:p w14:paraId="139AF1BD" w14:textId="30C67AF4" w:rsidR="0095613B" w:rsidRPr="006A1999" w:rsidRDefault="00B9526C" w:rsidP="0095613B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popis průběhu</w:t>
      </w:r>
      <w:r w:rsidR="0095613B" w:rsidRPr="006A1999">
        <w:rPr>
          <w:rFonts w:eastAsia="Calibri" w:cs="Arial"/>
        </w:rPr>
        <w:t xml:space="preserve"> vzdělávací akce, zejména zda bylo probráno celé téma, event. odchylky od tématu a jejich odůvodnění.</w:t>
      </w:r>
    </w:p>
    <w:p w14:paraId="3A389B3B" w14:textId="77777777" w:rsidR="0095613B" w:rsidRPr="006A1999" w:rsidRDefault="0095613B" w:rsidP="0095613B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údaj o zařazených praktických cvičeních a dalších aktivních metod výuky</w:t>
      </w:r>
    </w:p>
    <w:p w14:paraId="28A7E96C" w14:textId="174F15A6" w:rsidR="0095613B" w:rsidRPr="006A1999" w:rsidRDefault="009B3337" w:rsidP="0095613B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zhodnocení atmosféry ve skupinách</w:t>
      </w:r>
      <w:r w:rsidR="0095613B" w:rsidRPr="006A1999">
        <w:rPr>
          <w:rFonts w:eastAsia="Calibri" w:cs="Arial"/>
        </w:rPr>
        <w:t>, aktivity účastníků apod.</w:t>
      </w:r>
    </w:p>
    <w:p w14:paraId="4CB2968C" w14:textId="77777777" w:rsidR="0095613B" w:rsidRPr="006A1999" w:rsidRDefault="0095613B" w:rsidP="0095613B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organizační zajištění vzdělávací akce (náměty, připomínky, doporučení k organizačnímu zajištění VA – Vaše vlastní, event. reakce účastníků)</w:t>
      </w:r>
    </w:p>
    <w:p w14:paraId="7A46492E" w14:textId="1B868CF9" w:rsidR="0095613B" w:rsidRPr="006A1999" w:rsidRDefault="0095613B" w:rsidP="0095613B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d</w:t>
      </w:r>
      <w:r w:rsidR="009B3337" w:rsidRPr="006A1999">
        <w:rPr>
          <w:rFonts w:eastAsia="Calibri" w:cs="Arial"/>
        </w:rPr>
        <w:t>alší vzdělávání skupin</w:t>
      </w:r>
      <w:r w:rsidRPr="006A1999">
        <w:rPr>
          <w:rFonts w:eastAsia="Calibri" w:cs="Arial"/>
        </w:rPr>
        <w:t xml:space="preserve"> účastníků (doporučení dalšího rozvoje pro jednotlivé účastníky)</w:t>
      </w:r>
    </w:p>
    <w:p w14:paraId="75725F1F" w14:textId="77777777" w:rsidR="0095613B" w:rsidRPr="006A1999" w:rsidRDefault="0095613B" w:rsidP="0095613B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ostatní náměty a připomínky.</w:t>
      </w:r>
    </w:p>
    <w:p w14:paraId="484353C2" w14:textId="67190F97" w:rsidR="00634DF5" w:rsidRPr="006A1999" w:rsidRDefault="00216DFB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U</w:t>
      </w:r>
      <w:r w:rsidR="00634DF5" w:rsidRPr="006A1999">
        <w:rPr>
          <w:rFonts w:eastAsia="Calibri" w:cs="Arial"/>
        </w:rPr>
        <w:t>bytování bude zajištěno vždy pro předem nahlášený počet účastníků na nadcházející termín (v závislosti na dojezdové vzdálenosti do školicího střediska nemusí být počet ubytovaných shodný s počtem frekventantů). Skutečný počet osob nahlásí Objednatel dva týdny před konáním kurzu</w:t>
      </w:r>
      <w:r w:rsidR="00813AA6" w:rsidRPr="006A1999">
        <w:rPr>
          <w:rFonts w:eastAsia="Calibri" w:cs="Arial"/>
        </w:rPr>
        <w:t>.</w:t>
      </w:r>
    </w:p>
    <w:p w14:paraId="59F11856" w14:textId="5F429332" w:rsidR="00634DF5" w:rsidRPr="006A1999" w:rsidRDefault="00216DFB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6A1999">
        <w:rPr>
          <w:rFonts w:eastAsia="Calibri" w:cs="Arial"/>
        </w:rPr>
        <w:t>S</w:t>
      </w:r>
      <w:r w:rsidR="00634DF5" w:rsidRPr="006A1999">
        <w:rPr>
          <w:rFonts w:eastAsia="Calibri" w:cs="Arial"/>
        </w:rPr>
        <w:t xml:space="preserve">trava (snídaně, oběd s 1 nápojem, večeře s 1 nápojem, 2x </w:t>
      </w:r>
      <w:proofErr w:type="spellStart"/>
      <w:r w:rsidR="00634DF5" w:rsidRPr="006A1999">
        <w:rPr>
          <w:rFonts w:eastAsia="Calibri" w:cs="Arial"/>
        </w:rPr>
        <w:t>coffee</w:t>
      </w:r>
      <w:proofErr w:type="spellEnd"/>
      <w:r w:rsidR="00634DF5" w:rsidRPr="006A1999">
        <w:rPr>
          <w:rFonts w:eastAsia="Calibri" w:cs="Arial"/>
        </w:rPr>
        <w:t xml:space="preserve"> </w:t>
      </w:r>
      <w:proofErr w:type="spellStart"/>
      <w:r w:rsidR="00634DF5" w:rsidRPr="006A1999">
        <w:rPr>
          <w:rFonts w:eastAsia="Calibri" w:cs="Arial"/>
        </w:rPr>
        <w:t>break</w:t>
      </w:r>
      <w:proofErr w:type="spellEnd"/>
      <w:r w:rsidR="00634DF5" w:rsidRPr="006A1999">
        <w:rPr>
          <w:rFonts w:eastAsia="Calibri" w:cs="Arial"/>
        </w:rPr>
        <w:t>) po dobu školení bude rovněž zajištěna pro předem nahlášený počet účastníků sdělený Objednatelem na aktuální termín konání kurzů</w:t>
      </w:r>
      <w:r w:rsidR="00813AA6" w:rsidRPr="006A1999">
        <w:rPr>
          <w:rFonts w:eastAsia="Calibri" w:cs="Arial"/>
        </w:rPr>
        <w:t>.</w:t>
      </w:r>
    </w:p>
    <w:p w14:paraId="186CC3F1" w14:textId="7616388B" w:rsidR="003D244F" w:rsidRPr="006A1999" w:rsidRDefault="00634DF5" w:rsidP="009B3337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  <w:b/>
          <w:bCs/>
          <w:color w:val="000000"/>
        </w:rPr>
      </w:pPr>
      <w:r w:rsidRPr="006A1999">
        <w:rPr>
          <w:rFonts w:eastAsia="Calibri" w:cs="Arial"/>
        </w:rPr>
        <w:t xml:space="preserve">Konečná obsahová podoba školení bude upřesněna na základě dohody mezi Objednatelem a Poskytovatelem. </w:t>
      </w:r>
    </w:p>
    <w:p w14:paraId="0FF058DA" w14:textId="77777777" w:rsidR="00777898" w:rsidRPr="006A1999" w:rsidRDefault="00777898" w:rsidP="00777898">
      <w:pPr>
        <w:spacing w:after="0" w:line="240" w:lineRule="auto"/>
        <w:jc w:val="both"/>
        <w:rPr>
          <w:rFonts w:eastAsia="Calibri" w:cs="Arial"/>
        </w:rPr>
      </w:pPr>
    </w:p>
    <w:p w14:paraId="128D5181" w14:textId="77777777" w:rsidR="00777898" w:rsidRDefault="00777898" w:rsidP="00777898">
      <w:pPr>
        <w:spacing w:after="0" w:line="240" w:lineRule="auto"/>
        <w:jc w:val="both"/>
        <w:rPr>
          <w:rFonts w:eastAsia="Calibri" w:cs="Arial"/>
          <w:sz w:val="20"/>
          <w:szCs w:val="20"/>
        </w:rPr>
      </w:pPr>
    </w:p>
    <w:p w14:paraId="527C7F14" w14:textId="3AD8AEF8" w:rsidR="00777898" w:rsidRDefault="00777898" w:rsidP="00777898">
      <w:pPr>
        <w:spacing w:after="0" w:line="240" w:lineRule="auto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br w:type="page"/>
      </w:r>
    </w:p>
    <w:tbl>
      <w:tblPr>
        <w:tblpPr w:leftFromText="141" w:rightFromText="141" w:tblpY="887"/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900"/>
        <w:gridCol w:w="1700"/>
        <w:gridCol w:w="5680"/>
      </w:tblGrid>
      <w:tr w:rsidR="00777898" w:rsidRPr="00777898" w14:paraId="2927D02B" w14:textId="77777777" w:rsidTr="00777898">
        <w:trPr>
          <w:trHeight w:val="570"/>
        </w:trPr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B9F56" w14:textId="77777777" w:rsidR="00777898" w:rsidRDefault="00777898" w:rsidP="007778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  <w:p w14:paraId="669FB60C" w14:textId="77777777" w:rsid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  <w:p w14:paraId="718C579D" w14:textId="209EF2E3" w:rsidR="00777898" w:rsidRPr="00777898" w:rsidRDefault="00777898" w:rsidP="007778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77898">
              <w:rPr>
                <w:rFonts w:ascii="Verdana" w:eastAsia="Times New Roman" w:hAnsi="Verdana" w:cs="Times New Roman"/>
                <w:color w:val="000000"/>
                <w:lang w:eastAsia="cs-CZ"/>
              </w:rPr>
              <w:t>Základní kurz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300A1F17" w14:textId="6241FA5B" w:rsidR="00777898" w:rsidRPr="00777898" w:rsidRDefault="00777898" w:rsidP="007778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77898">
              <w:rPr>
                <w:rFonts w:ascii="Verdana" w:eastAsia="Times New Roman" w:hAnsi="Verdana" w:cs="Times New Roman"/>
                <w:color w:val="000000"/>
                <w:lang w:eastAsia="cs-CZ"/>
              </w:rPr>
              <w:t>Číslo kurzu</w:t>
            </w: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*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0F579558" w14:textId="182E598A" w:rsidR="00777898" w:rsidRPr="00777898" w:rsidRDefault="00777898" w:rsidP="007778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77898">
              <w:rPr>
                <w:rFonts w:ascii="Verdana" w:eastAsia="Times New Roman" w:hAnsi="Verdana" w:cs="Times New Roman"/>
                <w:color w:val="000000"/>
                <w:lang w:eastAsia="cs-CZ"/>
              </w:rPr>
              <w:t>Termín (od - do)</w:t>
            </w: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*</w:t>
            </w:r>
          </w:p>
        </w:tc>
        <w:tc>
          <w:tcPr>
            <w:tcW w:w="5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2E08F83C" w14:textId="452DCCDD" w:rsidR="00777898" w:rsidRPr="00777898" w:rsidRDefault="00777898" w:rsidP="007778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77898">
              <w:rPr>
                <w:rFonts w:ascii="Verdana" w:eastAsia="Times New Roman" w:hAnsi="Verdana" w:cs="Times New Roman"/>
                <w:color w:val="000000"/>
                <w:lang w:eastAsia="cs-CZ"/>
              </w:rPr>
              <w:t>Osnova/program</w:t>
            </w: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*</w:t>
            </w:r>
          </w:p>
        </w:tc>
      </w:tr>
      <w:tr w:rsidR="00777898" w:rsidRPr="00777898" w14:paraId="359B2818" w14:textId="77777777" w:rsidTr="00777898">
        <w:trPr>
          <w:trHeight w:val="240"/>
        </w:trPr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9C833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250C7" w14:textId="5D0D4CA3" w:rsidR="00777898" w:rsidRPr="00777898" w:rsidRDefault="00777898" w:rsidP="007778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51ACB3" w14:textId="77777777" w:rsidR="00777898" w:rsidRPr="00777898" w:rsidRDefault="00777898" w:rsidP="007778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77898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5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5B10A9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77898">
              <w:rPr>
                <w:rFonts w:ascii="Verdana" w:eastAsia="Times New Roman" w:hAnsi="Verdana" w:cs="Times New Roman"/>
                <w:color w:val="000000"/>
                <w:lang w:eastAsia="cs-CZ"/>
              </w:rPr>
              <w:t>1. den</w:t>
            </w:r>
          </w:p>
        </w:tc>
      </w:tr>
      <w:tr w:rsidR="00777898" w:rsidRPr="00777898" w14:paraId="75B6CB67" w14:textId="77777777" w:rsidTr="00777898">
        <w:trPr>
          <w:trHeight w:val="240"/>
        </w:trPr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5DEE92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962650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D48ABA5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5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EDB7F3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77898">
              <w:rPr>
                <w:rFonts w:ascii="Verdana" w:eastAsia="Times New Roman" w:hAnsi="Verdana" w:cs="Times New Roman"/>
                <w:color w:val="000000"/>
                <w:lang w:eastAsia="cs-CZ"/>
              </w:rPr>
              <w:t>2. den</w:t>
            </w:r>
          </w:p>
        </w:tc>
      </w:tr>
      <w:tr w:rsidR="00777898" w:rsidRPr="00777898" w14:paraId="7D739C16" w14:textId="77777777" w:rsidTr="00777898">
        <w:trPr>
          <w:trHeight w:val="240"/>
        </w:trPr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61E71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EA7770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0F51233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5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C82657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77898">
              <w:rPr>
                <w:rFonts w:ascii="Verdana" w:eastAsia="Times New Roman" w:hAnsi="Verdana" w:cs="Times New Roman"/>
                <w:color w:val="000000"/>
                <w:lang w:eastAsia="cs-CZ"/>
              </w:rPr>
              <w:t>3. den</w:t>
            </w:r>
          </w:p>
        </w:tc>
      </w:tr>
      <w:tr w:rsidR="00777898" w:rsidRPr="00777898" w14:paraId="6EB6C769" w14:textId="77777777" w:rsidTr="00777898">
        <w:trPr>
          <w:trHeight w:val="240"/>
        </w:trPr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37F8F1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56269F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91458E9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5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A3B07F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77898">
              <w:rPr>
                <w:rFonts w:ascii="Verdana" w:eastAsia="Times New Roman" w:hAnsi="Verdana" w:cs="Times New Roman"/>
                <w:color w:val="000000"/>
                <w:lang w:eastAsia="cs-CZ"/>
              </w:rPr>
              <w:t>4. den</w:t>
            </w:r>
          </w:p>
        </w:tc>
      </w:tr>
      <w:tr w:rsidR="00777898" w:rsidRPr="00777898" w14:paraId="61FBD1BC" w14:textId="77777777" w:rsidTr="00777898">
        <w:trPr>
          <w:trHeight w:val="240"/>
        </w:trPr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0CE7B9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22A9A8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BD358D7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5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03FC89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77898">
              <w:rPr>
                <w:rFonts w:ascii="Verdana" w:eastAsia="Times New Roman" w:hAnsi="Verdana" w:cs="Times New Roman"/>
                <w:color w:val="000000"/>
                <w:lang w:eastAsia="cs-CZ"/>
              </w:rPr>
              <w:t>5. den</w:t>
            </w:r>
          </w:p>
        </w:tc>
      </w:tr>
      <w:tr w:rsidR="00777898" w:rsidRPr="00777898" w14:paraId="7FF91219" w14:textId="77777777" w:rsidTr="00777898">
        <w:trPr>
          <w:trHeight w:val="465"/>
        </w:trPr>
        <w:tc>
          <w:tcPr>
            <w:tcW w:w="1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852CD" w14:textId="77777777" w:rsidR="00777898" w:rsidRPr="00777898" w:rsidRDefault="00777898" w:rsidP="007778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77898">
              <w:rPr>
                <w:rFonts w:ascii="Verdana" w:eastAsia="Times New Roman" w:hAnsi="Verdana" w:cs="Times New Roman"/>
                <w:color w:val="000000"/>
                <w:lang w:eastAsia="cs-CZ"/>
              </w:rPr>
              <w:t>Opakovací kurz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0F9D6588" w14:textId="713904A5" w:rsidR="00777898" w:rsidRPr="00777898" w:rsidRDefault="00777898" w:rsidP="007778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77898">
              <w:rPr>
                <w:rFonts w:ascii="Verdana" w:eastAsia="Times New Roman" w:hAnsi="Verdana" w:cs="Times New Roman"/>
                <w:color w:val="000000"/>
                <w:lang w:eastAsia="cs-CZ"/>
              </w:rPr>
              <w:t>Číslo kurzu</w:t>
            </w: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244CCAD4" w14:textId="337432A4" w:rsidR="00777898" w:rsidRPr="00777898" w:rsidRDefault="00777898" w:rsidP="007778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77898">
              <w:rPr>
                <w:rFonts w:ascii="Verdana" w:eastAsia="Times New Roman" w:hAnsi="Verdana" w:cs="Times New Roman"/>
                <w:color w:val="000000"/>
                <w:lang w:eastAsia="cs-CZ"/>
              </w:rPr>
              <w:t>Termín (od - do)</w:t>
            </w: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*</w:t>
            </w: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310DF83D" w14:textId="0BC78B6F" w:rsidR="00777898" w:rsidRPr="00777898" w:rsidRDefault="00777898" w:rsidP="007778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77898">
              <w:rPr>
                <w:rFonts w:ascii="Verdana" w:eastAsia="Times New Roman" w:hAnsi="Verdana" w:cs="Times New Roman"/>
                <w:color w:val="000000"/>
                <w:lang w:eastAsia="cs-CZ"/>
              </w:rPr>
              <w:t>Osnova/program</w:t>
            </w: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*</w:t>
            </w:r>
          </w:p>
        </w:tc>
      </w:tr>
      <w:tr w:rsidR="00777898" w:rsidRPr="00777898" w14:paraId="08F05C47" w14:textId="77777777" w:rsidTr="00777898">
        <w:trPr>
          <w:trHeight w:val="240"/>
        </w:trPr>
        <w:tc>
          <w:tcPr>
            <w:tcW w:w="1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385666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750B6" w14:textId="0CD8B8DF" w:rsidR="00777898" w:rsidRPr="00777898" w:rsidRDefault="00777898" w:rsidP="007778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C01ECC" w14:textId="77777777" w:rsidR="00777898" w:rsidRPr="00777898" w:rsidRDefault="00777898" w:rsidP="007778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77898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5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6A594B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77898">
              <w:rPr>
                <w:rFonts w:ascii="Verdana" w:eastAsia="Times New Roman" w:hAnsi="Verdana" w:cs="Times New Roman"/>
                <w:color w:val="000000"/>
                <w:lang w:eastAsia="cs-CZ"/>
              </w:rPr>
              <w:t>1. den</w:t>
            </w:r>
          </w:p>
        </w:tc>
      </w:tr>
      <w:tr w:rsidR="00777898" w:rsidRPr="00777898" w14:paraId="13FB081E" w14:textId="77777777" w:rsidTr="00777898">
        <w:trPr>
          <w:trHeight w:val="240"/>
        </w:trPr>
        <w:tc>
          <w:tcPr>
            <w:tcW w:w="1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10D4F5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C66139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3D8C6D3F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5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47E3CD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77898">
              <w:rPr>
                <w:rFonts w:ascii="Verdana" w:eastAsia="Times New Roman" w:hAnsi="Verdana" w:cs="Times New Roman"/>
                <w:color w:val="000000"/>
                <w:lang w:eastAsia="cs-CZ"/>
              </w:rPr>
              <w:t>2. den</w:t>
            </w:r>
          </w:p>
        </w:tc>
      </w:tr>
      <w:tr w:rsidR="00777898" w:rsidRPr="00777898" w14:paraId="55962590" w14:textId="77777777" w:rsidTr="00777898">
        <w:trPr>
          <w:trHeight w:val="240"/>
        </w:trPr>
        <w:tc>
          <w:tcPr>
            <w:tcW w:w="11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7315CE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184E6F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85E6EC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5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F8A31B" w14:textId="77777777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77898">
              <w:rPr>
                <w:rFonts w:ascii="Verdana" w:eastAsia="Times New Roman" w:hAnsi="Verdana" w:cs="Times New Roman"/>
                <w:color w:val="000000"/>
                <w:lang w:eastAsia="cs-CZ"/>
              </w:rPr>
              <w:t>3. den</w:t>
            </w:r>
          </w:p>
        </w:tc>
      </w:tr>
      <w:tr w:rsidR="00777898" w:rsidRPr="00777898" w14:paraId="589589AE" w14:textId="77777777" w:rsidTr="00777898">
        <w:trPr>
          <w:trHeight w:val="240"/>
        </w:trPr>
        <w:tc>
          <w:tcPr>
            <w:tcW w:w="9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F24E" w14:textId="3A69B96F" w:rsidR="00777898" w:rsidRPr="00777898" w:rsidRDefault="00777898" w:rsidP="0077789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* Vyplní Poskytovatel</w:t>
            </w:r>
          </w:p>
        </w:tc>
      </w:tr>
    </w:tbl>
    <w:p w14:paraId="25BD38A9" w14:textId="5C9748BB" w:rsidR="00777898" w:rsidRPr="006A1999" w:rsidRDefault="00777898" w:rsidP="00777898">
      <w:pPr>
        <w:spacing w:after="0" w:line="240" w:lineRule="auto"/>
        <w:jc w:val="both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bookmarkStart w:id="0" w:name="_GoBack"/>
      <w:r w:rsidRPr="006A199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HARMONOGRAM</w:t>
      </w:r>
      <w:bookmarkEnd w:id="0"/>
    </w:p>
    <w:sectPr w:rsidR="00777898" w:rsidRPr="006A1999" w:rsidSect="0079499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FA989" w16cex:dateUtc="2021-05-19T13:13:00Z"/>
  <w16cex:commentExtensible w16cex:durableId="244FA758" w16cex:dateUtc="2021-05-19T13:03:00Z"/>
  <w16cex:commentExtensible w16cex:durableId="244FA85D" w16cex:dateUtc="2021-05-19T13:08:00Z"/>
  <w16cex:commentExtensible w16cex:durableId="244FA949" w16cex:dateUtc="2021-05-19T13:12:00Z"/>
  <w16cex:commentExtensible w16cex:durableId="244FAA2A" w16cex:dateUtc="2021-05-19T13:15:00Z"/>
  <w16cex:commentExtensible w16cex:durableId="244FAAA8" w16cex:dateUtc="2021-05-19T13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09563E" w16cid:durableId="244FA51F"/>
  <w16cid:commentId w16cid:paraId="4D70CEBA" w16cid:durableId="244FA989"/>
  <w16cid:commentId w16cid:paraId="5C4463C2" w16cid:durableId="244FA758"/>
  <w16cid:commentId w16cid:paraId="4B49C718" w16cid:durableId="244FA520"/>
  <w16cid:commentId w16cid:paraId="3E6FBCA5" w16cid:durableId="244FA85D"/>
  <w16cid:commentId w16cid:paraId="0A7CEBC0" w16cid:durableId="244FA521"/>
  <w16cid:commentId w16cid:paraId="577B4DC4" w16cid:durableId="244FA949"/>
  <w16cid:commentId w16cid:paraId="1B17AD58" w16cid:durableId="244FA522"/>
  <w16cid:commentId w16cid:paraId="12E42644" w16cid:durableId="244FAA2A"/>
  <w16cid:commentId w16cid:paraId="16DED015" w16cid:durableId="244FA523"/>
  <w16cid:commentId w16cid:paraId="0508B36B" w16cid:durableId="244FAAA8"/>
  <w16cid:commentId w16cid:paraId="40859527" w16cid:durableId="244FA52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BEEDF" w14:textId="77777777" w:rsidR="00CA6690" w:rsidRDefault="00CA6690" w:rsidP="00962258">
      <w:pPr>
        <w:spacing w:after="0" w:line="240" w:lineRule="auto"/>
      </w:pPr>
      <w:r>
        <w:separator/>
      </w:r>
    </w:p>
  </w:endnote>
  <w:endnote w:type="continuationSeparator" w:id="0">
    <w:p w14:paraId="10ABBBFD" w14:textId="77777777" w:rsidR="00CA6690" w:rsidRDefault="00CA66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7903F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7903F8" w14:textId="5B3D0D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199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199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7903F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7903F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87903FB" w14:textId="77777777" w:rsidR="00F1715C" w:rsidRDefault="00F1715C" w:rsidP="00D831A3">
          <w:pPr>
            <w:pStyle w:val="Zpat"/>
          </w:pPr>
        </w:p>
      </w:tc>
    </w:tr>
  </w:tbl>
  <w:p w14:paraId="387903F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8790412" wp14:editId="387904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969FCD7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38790414" wp14:editId="3879041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7BEA090" id="Straight Connector 2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79040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790408" w14:textId="4891029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19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199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79040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879040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79040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879040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879040D" w14:textId="06EDBDE5" w:rsidR="00F1715C" w:rsidRDefault="00C44608" w:rsidP="00460660">
          <w:pPr>
            <w:pStyle w:val="Zpat"/>
          </w:pPr>
          <w:r>
            <w:t>www.</w:t>
          </w:r>
          <w:r w:rsidR="00632A2D" w:rsidRPr="00632A2D">
            <w:t>spravazeleznic.cz</w:t>
          </w:r>
        </w:p>
      </w:tc>
      <w:tc>
        <w:tcPr>
          <w:tcW w:w="2921" w:type="dxa"/>
        </w:tcPr>
        <w:p w14:paraId="3879040E" w14:textId="77777777" w:rsidR="00F1715C" w:rsidRDefault="00F1715C" w:rsidP="00460660">
          <w:pPr>
            <w:pStyle w:val="Zpat"/>
          </w:pPr>
        </w:p>
      </w:tc>
    </w:tr>
  </w:tbl>
  <w:p w14:paraId="3879041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38790418" wp14:editId="387904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240C308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3879041A" wp14:editId="387904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66AC2B0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7904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5F3968" w14:textId="77777777" w:rsidR="00CA6690" w:rsidRDefault="00CA6690" w:rsidP="00962258">
      <w:pPr>
        <w:spacing w:after="0" w:line="240" w:lineRule="auto"/>
      </w:pPr>
      <w:r>
        <w:separator/>
      </w:r>
    </w:p>
  </w:footnote>
  <w:footnote w:type="continuationSeparator" w:id="0">
    <w:p w14:paraId="4257B98C" w14:textId="77777777" w:rsidR="00CA6690" w:rsidRDefault="00CA66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87903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7903F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7903F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7903F5" w14:textId="77777777" w:rsidR="00F1715C" w:rsidRPr="00D6163D" w:rsidRDefault="00F1715C" w:rsidP="00D6163D">
          <w:pPr>
            <w:pStyle w:val="Druhdokumentu"/>
          </w:pPr>
        </w:p>
      </w:tc>
    </w:tr>
  </w:tbl>
  <w:p w14:paraId="387903F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8790401" w14:textId="77777777" w:rsidTr="00277810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7903F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7903F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790400" w14:textId="353A9E91" w:rsidR="00F1715C" w:rsidRPr="00D6163D" w:rsidRDefault="00F1715C" w:rsidP="00FC6389">
          <w:pPr>
            <w:pStyle w:val="Druhdokumentu"/>
          </w:pPr>
        </w:p>
      </w:tc>
    </w:tr>
    <w:tr w:rsidR="009F392E" w14:paraId="38790405" w14:textId="77777777" w:rsidTr="00277810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879040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79040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790404" w14:textId="77777777" w:rsidR="009F392E" w:rsidRPr="00D6163D" w:rsidRDefault="009F392E" w:rsidP="00FC6389">
          <w:pPr>
            <w:pStyle w:val="Druhdokumentu"/>
          </w:pPr>
        </w:p>
      </w:tc>
    </w:tr>
  </w:tbl>
  <w:p w14:paraId="3879040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5168" behindDoc="0" locked="1" layoutInCell="1" allowOverlap="1" wp14:anchorId="38790416" wp14:editId="387904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79040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A1413D"/>
    <w:multiLevelType w:val="hybridMultilevel"/>
    <w:tmpl w:val="35768148"/>
    <w:lvl w:ilvl="0" w:tplc="E334CB70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38A128A1"/>
    <w:multiLevelType w:val="hybridMultilevel"/>
    <w:tmpl w:val="A5262882"/>
    <w:lvl w:ilvl="0" w:tplc="35A0C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87885"/>
    <w:multiLevelType w:val="hybridMultilevel"/>
    <w:tmpl w:val="B45842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D2762C"/>
    <w:multiLevelType w:val="hybridMultilevel"/>
    <w:tmpl w:val="95D8FE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D933D76"/>
    <w:multiLevelType w:val="multilevel"/>
    <w:tmpl w:val="4D34187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8A87C30"/>
    <w:multiLevelType w:val="hybridMultilevel"/>
    <w:tmpl w:val="CC78C5F0"/>
    <w:lvl w:ilvl="0" w:tplc="8372104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913773"/>
    <w:multiLevelType w:val="hybridMultilevel"/>
    <w:tmpl w:val="02D2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AF0A8C"/>
    <w:multiLevelType w:val="multilevel"/>
    <w:tmpl w:val="0D34D660"/>
    <w:numStyleLink w:val="ListBulletmultilevel"/>
  </w:abstractNum>
  <w:abstractNum w:abstractNumId="15">
    <w:nsid w:val="73A27071"/>
    <w:multiLevelType w:val="hybridMultilevel"/>
    <w:tmpl w:val="CF580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6"/>
  </w:num>
  <w:num w:numId="17">
    <w:abstractNumId w:val="2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6"/>
  </w:num>
  <w:num w:numId="29">
    <w:abstractNumId w:val="2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5"/>
  </w:num>
  <w:num w:numId="35">
    <w:abstractNumId w:val="13"/>
  </w:num>
  <w:num w:numId="36">
    <w:abstractNumId w:val="9"/>
  </w:num>
  <w:num w:numId="37">
    <w:abstractNumId w:val="10"/>
  </w:num>
  <w:num w:numId="38">
    <w:abstractNumId w:val="8"/>
  </w:num>
  <w:num w:numId="39">
    <w:abstractNumId w:val="12"/>
  </w:num>
  <w:num w:numId="40">
    <w:abstractNumId w:val="11"/>
  </w:num>
  <w:num w:numId="4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6C9"/>
    <w:rsid w:val="00072A14"/>
    <w:rsid w:val="00072C1E"/>
    <w:rsid w:val="00093695"/>
    <w:rsid w:val="000947C6"/>
    <w:rsid w:val="000E23A7"/>
    <w:rsid w:val="000E5CF5"/>
    <w:rsid w:val="000F7E3A"/>
    <w:rsid w:val="0010693F"/>
    <w:rsid w:val="00114472"/>
    <w:rsid w:val="0015038E"/>
    <w:rsid w:val="001550BC"/>
    <w:rsid w:val="001605B9"/>
    <w:rsid w:val="00165366"/>
    <w:rsid w:val="0017080A"/>
    <w:rsid w:val="00170EC5"/>
    <w:rsid w:val="00172AEA"/>
    <w:rsid w:val="001747C1"/>
    <w:rsid w:val="00184743"/>
    <w:rsid w:val="00207DF5"/>
    <w:rsid w:val="00216DFB"/>
    <w:rsid w:val="00223E8D"/>
    <w:rsid w:val="0025505B"/>
    <w:rsid w:val="00277810"/>
    <w:rsid w:val="00280E07"/>
    <w:rsid w:val="002C31BF"/>
    <w:rsid w:val="002D08B1"/>
    <w:rsid w:val="002E0CD7"/>
    <w:rsid w:val="0030535B"/>
    <w:rsid w:val="00341DCF"/>
    <w:rsid w:val="003541D3"/>
    <w:rsid w:val="0035520B"/>
    <w:rsid w:val="00357BC6"/>
    <w:rsid w:val="003956C6"/>
    <w:rsid w:val="003B5284"/>
    <w:rsid w:val="003D244F"/>
    <w:rsid w:val="004119C1"/>
    <w:rsid w:val="004176C9"/>
    <w:rsid w:val="00432191"/>
    <w:rsid w:val="00441430"/>
    <w:rsid w:val="00450F07"/>
    <w:rsid w:val="00453CD3"/>
    <w:rsid w:val="00460660"/>
    <w:rsid w:val="00464A01"/>
    <w:rsid w:val="00477855"/>
    <w:rsid w:val="00485A7F"/>
    <w:rsid w:val="00486107"/>
    <w:rsid w:val="00491827"/>
    <w:rsid w:val="004B348C"/>
    <w:rsid w:val="004C4399"/>
    <w:rsid w:val="004C787C"/>
    <w:rsid w:val="004E143C"/>
    <w:rsid w:val="004E3A53"/>
    <w:rsid w:val="004E54AA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767"/>
    <w:rsid w:val="0061068E"/>
    <w:rsid w:val="006277B2"/>
    <w:rsid w:val="00627A26"/>
    <w:rsid w:val="00632A2D"/>
    <w:rsid w:val="00634DF5"/>
    <w:rsid w:val="00652DA1"/>
    <w:rsid w:val="00660AD3"/>
    <w:rsid w:val="00665FFC"/>
    <w:rsid w:val="00673B52"/>
    <w:rsid w:val="00677B7F"/>
    <w:rsid w:val="006A1999"/>
    <w:rsid w:val="006A5570"/>
    <w:rsid w:val="006A689C"/>
    <w:rsid w:val="006B3D79"/>
    <w:rsid w:val="006D7AFE"/>
    <w:rsid w:val="006E0578"/>
    <w:rsid w:val="006E314D"/>
    <w:rsid w:val="00710723"/>
    <w:rsid w:val="00723B0C"/>
    <w:rsid w:val="00723ED1"/>
    <w:rsid w:val="00743525"/>
    <w:rsid w:val="0074399D"/>
    <w:rsid w:val="00752632"/>
    <w:rsid w:val="0076286B"/>
    <w:rsid w:val="00766846"/>
    <w:rsid w:val="0077548F"/>
    <w:rsid w:val="0077673A"/>
    <w:rsid w:val="00777898"/>
    <w:rsid w:val="007846E1"/>
    <w:rsid w:val="0079499E"/>
    <w:rsid w:val="007B570C"/>
    <w:rsid w:val="007C589B"/>
    <w:rsid w:val="007E4A6E"/>
    <w:rsid w:val="007F56A7"/>
    <w:rsid w:val="00807DD0"/>
    <w:rsid w:val="00813AA6"/>
    <w:rsid w:val="008371D1"/>
    <w:rsid w:val="00850531"/>
    <w:rsid w:val="00854645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613B"/>
    <w:rsid w:val="00962258"/>
    <w:rsid w:val="009678B7"/>
    <w:rsid w:val="009833E1"/>
    <w:rsid w:val="00992D9C"/>
    <w:rsid w:val="00996CB8"/>
    <w:rsid w:val="009B14A9"/>
    <w:rsid w:val="009B2E97"/>
    <w:rsid w:val="009B3337"/>
    <w:rsid w:val="009E07F4"/>
    <w:rsid w:val="009F00C4"/>
    <w:rsid w:val="009F392E"/>
    <w:rsid w:val="00A5162C"/>
    <w:rsid w:val="00A60AA4"/>
    <w:rsid w:val="00A6177B"/>
    <w:rsid w:val="00A66136"/>
    <w:rsid w:val="00A73E1A"/>
    <w:rsid w:val="00A75DA8"/>
    <w:rsid w:val="00A85AC8"/>
    <w:rsid w:val="00AA4CBB"/>
    <w:rsid w:val="00AA65FA"/>
    <w:rsid w:val="00AA7351"/>
    <w:rsid w:val="00AB376F"/>
    <w:rsid w:val="00AD056F"/>
    <w:rsid w:val="00AD6731"/>
    <w:rsid w:val="00AE4951"/>
    <w:rsid w:val="00B06248"/>
    <w:rsid w:val="00B15D0D"/>
    <w:rsid w:val="00B53A50"/>
    <w:rsid w:val="00B75EE1"/>
    <w:rsid w:val="00B77481"/>
    <w:rsid w:val="00B8518B"/>
    <w:rsid w:val="00B9526C"/>
    <w:rsid w:val="00BA6847"/>
    <w:rsid w:val="00BC08AB"/>
    <w:rsid w:val="00BD7E91"/>
    <w:rsid w:val="00C02D0A"/>
    <w:rsid w:val="00C03A6E"/>
    <w:rsid w:val="00C27E1D"/>
    <w:rsid w:val="00C44608"/>
    <w:rsid w:val="00C44F6A"/>
    <w:rsid w:val="00C47AE3"/>
    <w:rsid w:val="00C559CA"/>
    <w:rsid w:val="00CA6690"/>
    <w:rsid w:val="00CB3B05"/>
    <w:rsid w:val="00CD1FC4"/>
    <w:rsid w:val="00D1239B"/>
    <w:rsid w:val="00D21061"/>
    <w:rsid w:val="00D4108E"/>
    <w:rsid w:val="00D6163D"/>
    <w:rsid w:val="00D73D46"/>
    <w:rsid w:val="00D831A3"/>
    <w:rsid w:val="00DC0044"/>
    <w:rsid w:val="00DC75F3"/>
    <w:rsid w:val="00DD46F3"/>
    <w:rsid w:val="00DE56F2"/>
    <w:rsid w:val="00DF116D"/>
    <w:rsid w:val="00E77359"/>
    <w:rsid w:val="00EB104F"/>
    <w:rsid w:val="00ED14BD"/>
    <w:rsid w:val="00EE2B43"/>
    <w:rsid w:val="00EE7EFA"/>
    <w:rsid w:val="00F0533E"/>
    <w:rsid w:val="00F1048D"/>
    <w:rsid w:val="00F12DEC"/>
    <w:rsid w:val="00F1715C"/>
    <w:rsid w:val="00F310F8"/>
    <w:rsid w:val="00F35939"/>
    <w:rsid w:val="00F45607"/>
    <w:rsid w:val="00F5558F"/>
    <w:rsid w:val="00F57FB2"/>
    <w:rsid w:val="00F659EB"/>
    <w:rsid w:val="00F7456C"/>
    <w:rsid w:val="00F86BA6"/>
    <w:rsid w:val="00FA09DD"/>
    <w:rsid w:val="00FC6389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9037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76C9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76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76" w:lineRule="auto"/>
      <w:outlineLvl w:val="3"/>
    </w:pPr>
    <w:rPr>
      <w:rFonts w:asciiTheme="majorHAnsi" w:eastAsiaTheme="majorEastAsia" w:hAnsiTheme="majorHAnsi" w:cstheme="majorBidi"/>
      <w:b/>
      <w:i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76" w:lineRule="auto"/>
      <w:outlineLvl w:val="4"/>
    </w:pPr>
    <w:rPr>
      <w:rFonts w:asciiTheme="majorHAnsi" w:eastAsiaTheme="majorEastAsia" w:hAnsiTheme="majorHAnsi" w:cstheme="majorBidi"/>
      <w:b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22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22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76" w:lineRule="auto"/>
    </w:pPr>
    <w:rPr>
      <w:iCs/>
      <w:sz w:val="24"/>
      <w:szCs w:val="22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76" w:lineRule="auto"/>
    </w:pPr>
    <w:rPr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76" w:lineRule="auto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76" w:lineRule="auto"/>
      <w:ind w:left="862" w:right="862"/>
      <w:jc w:val="center"/>
    </w:pPr>
    <w:rPr>
      <w:b/>
      <w:iCs/>
      <w:sz w:val="22"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895406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00" w:line="276" w:lineRule="auto"/>
    </w:pPr>
    <w:rPr>
      <w:rFonts w:cs="Times New Roman"/>
      <w:sz w:val="22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76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76" w:lineRule="auto"/>
    </w:pPr>
    <w:rPr>
      <w:sz w:val="22"/>
      <w:szCs w:val="22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76" w:lineRule="auto"/>
      <w:contextualSpacing/>
    </w:pPr>
    <w:rPr>
      <w:sz w:val="22"/>
      <w:szCs w:val="22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00" w:line="276" w:lineRule="auto"/>
    </w:pPr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76" w:lineRule="auto"/>
      <w:ind w:left="180"/>
    </w:pPr>
    <w:rPr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76" w:lineRule="auto"/>
    </w:pPr>
    <w:rPr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76" w:lineRule="auto"/>
      <w:ind w:left="360"/>
    </w:pPr>
    <w:rPr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22"/>
      <w:szCs w:val="2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uiPriority w:val="59"/>
    <w:rsid w:val="004176C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B3B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3B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3B0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3B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3B0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723B0C"/>
    <w:pPr>
      <w:spacing w:after="0" w:line="240" w:lineRule="auto"/>
    </w:pPr>
  </w:style>
  <w:style w:type="paragraph" w:customStyle="1" w:styleId="acnormal">
    <w:name w:val="ac_normal"/>
    <w:basedOn w:val="Normln"/>
    <w:link w:val="acnormalChar"/>
    <w:uiPriority w:val="99"/>
    <w:qFormat/>
    <w:rsid w:val="007778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777898"/>
    <w:rPr>
      <w:rFonts w:ascii="Calibri" w:eastAsia="Calibri" w:hAnsi="Calibri" w:cs="Times New Roman"/>
      <w:sz w:val="16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76C9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76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76" w:lineRule="auto"/>
      <w:outlineLvl w:val="3"/>
    </w:pPr>
    <w:rPr>
      <w:rFonts w:asciiTheme="majorHAnsi" w:eastAsiaTheme="majorEastAsia" w:hAnsiTheme="majorHAnsi" w:cstheme="majorBidi"/>
      <w:b/>
      <w:i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76" w:lineRule="auto"/>
      <w:outlineLvl w:val="4"/>
    </w:pPr>
    <w:rPr>
      <w:rFonts w:asciiTheme="majorHAnsi" w:eastAsiaTheme="majorEastAsia" w:hAnsiTheme="majorHAnsi" w:cstheme="majorBidi"/>
      <w:b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22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22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76" w:lineRule="auto"/>
    </w:pPr>
    <w:rPr>
      <w:iCs/>
      <w:sz w:val="24"/>
      <w:szCs w:val="22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76" w:lineRule="auto"/>
    </w:pPr>
    <w:rPr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76" w:lineRule="auto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76" w:lineRule="auto"/>
      <w:ind w:left="862" w:right="862"/>
      <w:jc w:val="center"/>
    </w:pPr>
    <w:rPr>
      <w:b/>
      <w:iCs/>
      <w:sz w:val="22"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895406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00" w:line="276" w:lineRule="auto"/>
    </w:pPr>
    <w:rPr>
      <w:rFonts w:cs="Times New Roman"/>
      <w:sz w:val="22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76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76" w:lineRule="auto"/>
    </w:pPr>
    <w:rPr>
      <w:sz w:val="22"/>
      <w:szCs w:val="22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76" w:lineRule="auto"/>
      <w:contextualSpacing/>
    </w:pPr>
    <w:rPr>
      <w:sz w:val="22"/>
      <w:szCs w:val="22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00" w:line="276" w:lineRule="auto"/>
    </w:pPr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76" w:lineRule="auto"/>
      <w:ind w:left="180"/>
    </w:pPr>
    <w:rPr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76" w:lineRule="auto"/>
    </w:pPr>
    <w:rPr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76" w:lineRule="auto"/>
      <w:ind w:left="360"/>
    </w:pPr>
    <w:rPr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22"/>
      <w:szCs w:val="2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uiPriority w:val="59"/>
    <w:rsid w:val="004176C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B3B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3B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3B0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3B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3B0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723B0C"/>
    <w:pPr>
      <w:spacing w:after="0" w:line="240" w:lineRule="auto"/>
    </w:pPr>
  </w:style>
  <w:style w:type="paragraph" w:customStyle="1" w:styleId="acnormal">
    <w:name w:val="ac_normal"/>
    <w:basedOn w:val="Normln"/>
    <w:link w:val="acnormalChar"/>
    <w:uiPriority w:val="99"/>
    <w:qFormat/>
    <w:rsid w:val="007778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777898"/>
    <w:rPr>
      <w:rFonts w:ascii="Calibri" w:eastAsia="Calibri" w:hAnsi="Calibri" w:cs="Times New Roman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ukovaVondrackova\Desktop\&#353;ablony%202020%20-%20odd.%20vzd&#283;l\2020%20-%20HVA%20-%20soft%20skill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F9D01-EAF4-41F2-A327-D12E1D96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2020 - HVA - soft skills</Template>
  <TotalTime>10</TotalTime>
  <Pages>4</Pages>
  <Words>1178</Words>
  <Characters>6955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Fuková Vondráčková Hana, Mgr.</dc:creator>
  <cp:lastModifiedBy>Zachová Tereza, Ing.</cp:lastModifiedBy>
  <cp:revision>5</cp:revision>
  <cp:lastPrinted>2021-04-15T11:04:00Z</cp:lastPrinted>
  <dcterms:created xsi:type="dcterms:W3CDTF">2021-05-23T20:42:00Z</dcterms:created>
  <dcterms:modified xsi:type="dcterms:W3CDTF">2021-05-23T21:15:00Z</dcterms:modified>
</cp:coreProperties>
</file>