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C30" w:rsidRDefault="00FF3C30" w:rsidP="00FF3C30">
      <w:pPr>
        <w:ind w:left="4962" w:hanging="1"/>
        <w:jc w:val="center"/>
        <w:rPr>
          <w:b/>
          <w:sz w:val="32"/>
          <w:szCs w:val="32"/>
        </w:rPr>
      </w:pPr>
      <w:r>
        <w:rPr>
          <w:noProof/>
          <w:sz w:val="22"/>
          <w:lang w:eastAsia="cs-CZ"/>
        </w:rPr>
        <w:drawing>
          <wp:anchor distT="0" distB="0" distL="114300" distR="114300" simplePos="0" relativeHeight="251659264" behindDoc="0" locked="0" layoutInCell="1" allowOverlap="1" wp14:anchorId="2D98F31E" wp14:editId="5FB39FE3">
            <wp:simplePos x="0" y="0"/>
            <wp:positionH relativeFrom="column">
              <wp:posOffset>102918</wp:posOffset>
            </wp:positionH>
            <wp:positionV relativeFrom="paragraph">
              <wp:posOffset>2743</wp:posOffset>
            </wp:positionV>
            <wp:extent cx="1979930" cy="736600"/>
            <wp:effectExtent l="0" t="0" r="1270" b="6350"/>
            <wp:wrapNone/>
            <wp:docPr id="3" name="Obrázek 3" descr="sprava-zeleznic_logo_01_zakladni_barevne_s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prava-zeleznic_logo_01_zakladni_barevne_sRG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736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0B4A">
        <w:rPr>
          <w:b/>
          <w:sz w:val="32"/>
          <w:szCs w:val="32"/>
        </w:rPr>
        <w:t>Přehled rizik Správy železnic, státní organizace a přijatých opatření ze strany SŽ pro</w:t>
      </w:r>
      <w:r>
        <w:rPr>
          <w:b/>
          <w:sz w:val="32"/>
          <w:szCs w:val="32"/>
        </w:rPr>
        <w:t xml:space="preserve"> všechna </w:t>
      </w:r>
      <w:r w:rsidRPr="00E30B4A">
        <w:rPr>
          <w:b/>
          <w:sz w:val="32"/>
          <w:szCs w:val="32"/>
        </w:rPr>
        <w:t xml:space="preserve">pracoviště </w:t>
      </w:r>
      <w:r>
        <w:rPr>
          <w:b/>
          <w:sz w:val="32"/>
          <w:szCs w:val="32"/>
        </w:rPr>
        <w:t>(včetně železniční dopravní cesty),</w:t>
      </w:r>
      <w:r w:rsidRPr="00E30B4A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kde vykonávají úkoly zaměstnanci více zaměstnavatelů</w:t>
      </w:r>
    </w:p>
    <w:p w:rsidR="00650287" w:rsidRPr="00E30B4A" w:rsidRDefault="00650287" w:rsidP="00E30B4A">
      <w:pPr>
        <w:jc w:val="both"/>
        <w:rPr>
          <w:b/>
          <w:sz w:val="22"/>
        </w:rPr>
      </w:pPr>
    </w:p>
    <w:p w:rsidR="00650287" w:rsidRDefault="00650287" w:rsidP="00650287">
      <w:pPr>
        <w:jc w:val="right"/>
        <w:rPr>
          <w:sz w:val="22"/>
        </w:rPr>
      </w:pPr>
      <w:r>
        <w:rPr>
          <w:sz w:val="22"/>
        </w:rPr>
        <w:t xml:space="preserve">Zpracováno dne: </w:t>
      </w:r>
      <w:r w:rsidR="00FF3C30">
        <w:rPr>
          <w:sz w:val="22"/>
        </w:rPr>
        <w:t>4. října 2020</w:t>
      </w:r>
    </w:p>
    <w:p w:rsidR="00FF3C30" w:rsidRDefault="00FF3C30" w:rsidP="00650287">
      <w:pPr>
        <w:jc w:val="right"/>
        <w:rPr>
          <w:sz w:val="22"/>
        </w:rPr>
      </w:pPr>
    </w:p>
    <w:p w:rsidR="00650287" w:rsidRDefault="00650287" w:rsidP="00650287">
      <w:pPr>
        <w:jc w:val="center"/>
        <w:rPr>
          <w:sz w:val="22"/>
        </w:rPr>
      </w:pPr>
      <w:r>
        <w:rPr>
          <w:sz w:val="22"/>
        </w:rPr>
        <w:t>Uvedený přehled je zpracován na základě požadavku daného §101 odst. 3 zákona č. 262/2006 Sb., zákoník práce. Přehled je určen pro zaměstnavatele, jehož zaměstnanci vykonávají činnosti na pracovištích v prostorách SŽ, jako základní materiál pro vyhodnocení rizik pro jeho zaměstnance.</w:t>
      </w:r>
    </w:p>
    <w:p w:rsidR="00650287" w:rsidRDefault="00650287" w:rsidP="00650287">
      <w:pPr>
        <w:jc w:val="center"/>
        <w:rPr>
          <w:sz w:val="22"/>
        </w:rPr>
      </w:pPr>
      <w:r>
        <w:rPr>
          <w:sz w:val="22"/>
        </w:rPr>
        <w:t xml:space="preserve"> Bezpečnostní opatření </w:t>
      </w:r>
      <w:r w:rsidR="00FF3C30">
        <w:rPr>
          <w:sz w:val="22"/>
        </w:rPr>
        <w:t>zajišťující</w:t>
      </w:r>
      <w:r>
        <w:rPr>
          <w:sz w:val="22"/>
        </w:rPr>
        <w:t xml:space="preserve"> zaměstnanc</w:t>
      </w:r>
      <w:r w:rsidR="00FF3C30">
        <w:rPr>
          <w:sz w:val="22"/>
        </w:rPr>
        <w:t>i</w:t>
      </w:r>
      <w:r>
        <w:rPr>
          <w:sz w:val="22"/>
        </w:rPr>
        <w:t xml:space="preserve"> SŽ jsou uvedena </w:t>
      </w:r>
      <w:r w:rsidRPr="00B16EC4">
        <w:rPr>
          <w:b/>
          <w:sz w:val="22"/>
        </w:rPr>
        <w:t>černou</w:t>
      </w:r>
      <w:r>
        <w:rPr>
          <w:sz w:val="22"/>
        </w:rPr>
        <w:t xml:space="preserve"> barvou. Opatření určená všem osobám vykonávající činnosti v prostorách SŽ</w:t>
      </w:r>
      <w:r w:rsidR="00FF3C30">
        <w:rPr>
          <w:sz w:val="22"/>
        </w:rPr>
        <w:t xml:space="preserve"> (mají povinnost je zabezpečovat)</w:t>
      </w:r>
      <w:r>
        <w:rPr>
          <w:sz w:val="22"/>
        </w:rPr>
        <w:t xml:space="preserve"> jsou uvedena barvou </w:t>
      </w:r>
      <w:r w:rsidRPr="00B16EC4">
        <w:rPr>
          <w:b/>
          <w:color w:val="FF0000"/>
          <w:sz w:val="22"/>
        </w:rPr>
        <w:t>červenou</w:t>
      </w:r>
      <w:r w:rsidRPr="00B16EC4">
        <w:rPr>
          <w:color w:val="FF0000"/>
          <w:sz w:val="22"/>
        </w:rPr>
        <w:t>.</w:t>
      </w:r>
      <w:r>
        <w:rPr>
          <w:sz w:val="22"/>
        </w:rPr>
        <w:t xml:space="preserve"> </w:t>
      </w:r>
    </w:p>
    <w:p w:rsidR="00FF3C30" w:rsidRPr="00B16EC4" w:rsidRDefault="00FF3C30" w:rsidP="00650287">
      <w:pPr>
        <w:jc w:val="center"/>
        <w:rPr>
          <w:sz w:val="22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1"/>
        <w:gridCol w:w="2990"/>
        <w:gridCol w:w="2694"/>
        <w:gridCol w:w="12639"/>
      </w:tblGrid>
      <w:tr w:rsidR="00E30B4A" w:rsidTr="007369B3">
        <w:trPr>
          <w:trHeight w:val="516"/>
          <w:tblHeader/>
        </w:trPr>
        <w:tc>
          <w:tcPr>
            <w:tcW w:w="22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30B4A" w:rsidRPr="00F1095C" w:rsidRDefault="00E30B4A" w:rsidP="00E30B4A">
            <w:pPr>
              <w:jc w:val="center"/>
              <w:rPr>
                <w:b/>
              </w:rPr>
            </w:pPr>
            <w:r>
              <w:rPr>
                <w:b/>
              </w:rPr>
              <w:t>Č</w:t>
            </w:r>
            <w:r w:rsidRPr="00F1095C">
              <w:rPr>
                <w:b/>
              </w:rPr>
              <w:t>innost</w:t>
            </w:r>
            <w:r>
              <w:rPr>
                <w:b/>
              </w:rPr>
              <w:t xml:space="preserve"> CPS</w:t>
            </w:r>
          </w:p>
        </w:tc>
        <w:tc>
          <w:tcPr>
            <w:tcW w:w="29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30B4A" w:rsidRPr="00F1095C" w:rsidRDefault="00E30B4A" w:rsidP="00E30B4A">
            <w:pPr>
              <w:jc w:val="center"/>
              <w:rPr>
                <w:b/>
              </w:rPr>
            </w:pPr>
            <w:r w:rsidRPr="00F1095C">
              <w:rPr>
                <w:b/>
              </w:rPr>
              <w:t xml:space="preserve">Zdroj rizika </w:t>
            </w:r>
            <w:r>
              <w:rPr>
                <w:b/>
              </w:rPr>
              <w:t>ze strany SŽ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30B4A" w:rsidRPr="00F1095C" w:rsidRDefault="00E30B4A" w:rsidP="00E30B4A">
            <w:pPr>
              <w:jc w:val="center"/>
              <w:rPr>
                <w:b/>
              </w:rPr>
            </w:pPr>
            <w:r>
              <w:rPr>
                <w:b/>
              </w:rPr>
              <w:t>Předpokládaný následek působení zdroje rizika</w:t>
            </w:r>
          </w:p>
        </w:tc>
        <w:tc>
          <w:tcPr>
            <w:tcW w:w="12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30B4A" w:rsidRPr="00F1095C" w:rsidRDefault="00E30B4A" w:rsidP="00E30B4A">
            <w:pPr>
              <w:jc w:val="center"/>
              <w:rPr>
                <w:b/>
              </w:rPr>
            </w:pPr>
            <w:r w:rsidRPr="00F1095C">
              <w:rPr>
                <w:b/>
              </w:rPr>
              <w:t>Bezpečnostní opatření</w:t>
            </w:r>
            <w:r>
              <w:rPr>
                <w:b/>
              </w:rPr>
              <w:t xml:space="preserve"> SŽ</w:t>
            </w:r>
          </w:p>
        </w:tc>
      </w:tr>
      <w:tr w:rsidR="00E30B4A" w:rsidTr="007369B3">
        <w:trPr>
          <w:trHeight w:val="839"/>
        </w:trPr>
        <w:tc>
          <w:tcPr>
            <w:tcW w:w="20544" w:type="dxa"/>
            <w:gridSpan w:val="4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30B4A" w:rsidRPr="00DD4D6D" w:rsidRDefault="00E30B4A" w:rsidP="00E30B4A">
            <w:pPr>
              <w:jc w:val="center"/>
              <w:rPr>
                <w:color w:val="FF9900"/>
                <w:sz w:val="32"/>
                <w:szCs w:val="32"/>
              </w:rPr>
            </w:pPr>
            <w:r>
              <w:rPr>
                <w:color w:val="FF9900"/>
                <w:sz w:val="32"/>
                <w:szCs w:val="32"/>
              </w:rPr>
              <w:t>Administrativní prostory a sociální</w:t>
            </w:r>
            <w:r w:rsidRPr="00DD4D6D">
              <w:rPr>
                <w:color w:val="FF9900"/>
                <w:sz w:val="32"/>
                <w:szCs w:val="32"/>
              </w:rPr>
              <w:t xml:space="preserve"> z</w:t>
            </w:r>
            <w:r>
              <w:rPr>
                <w:color w:val="FF9900"/>
                <w:sz w:val="32"/>
                <w:szCs w:val="32"/>
              </w:rPr>
              <w:t>ařízení</w:t>
            </w:r>
          </w:p>
        </w:tc>
      </w:tr>
      <w:tr w:rsidR="00C71482" w:rsidTr="007369B3">
        <w:tc>
          <w:tcPr>
            <w:tcW w:w="2221" w:type="dxa"/>
            <w:tcBorders>
              <w:top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71482" w:rsidRPr="00B03558" w:rsidRDefault="00C71482" w:rsidP="00830D44">
            <w:pPr>
              <w:rPr>
                <w:sz w:val="22"/>
              </w:rPr>
            </w:pPr>
            <w:r w:rsidRPr="00B03558">
              <w:rPr>
                <w:sz w:val="22"/>
              </w:rPr>
              <w:t>Pohyb po chodbách</w:t>
            </w:r>
            <w:r>
              <w:rPr>
                <w:sz w:val="22"/>
              </w:rPr>
              <w:t>, sc</w:t>
            </w:r>
            <w:r w:rsidRPr="00B03558">
              <w:rPr>
                <w:sz w:val="22"/>
              </w:rPr>
              <w:t>hodištích</w:t>
            </w:r>
            <w:r>
              <w:rPr>
                <w:sz w:val="22"/>
              </w:rPr>
              <w:t xml:space="preserve"> a kancelářích</w:t>
            </w:r>
          </w:p>
        </w:tc>
        <w:tc>
          <w:tcPr>
            <w:tcW w:w="299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C71482" w:rsidRPr="00B03558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B03558">
              <w:rPr>
                <w:sz w:val="18"/>
                <w:szCs w:val="18"/>
              </w:rPr>
              <w:t>Nerovný povrch,</w:t>
            </w:r>
          </w:p>
          <w:p w:rsidR="00C71482" w:rsidRPr="00B03558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B03558">
              <w:rPr>
                <w:sz w:val="18"/>
                <w:szCs w:val="18"/>
              </w:rPr>
              <w:t>Kluzký povrch,</w:t>
            </w:r>
          </w:p>
          <w:p w:rsidR="00C71482" w:rsidRPr="00B03558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B03558">
              <w:rPr>
                <w:sz w:val="18"/>
                <w:szCs w:val="18"/>
              </w:rPr>
              <w:t>Poškozená podlahová krytina,</w:t>
            </w:r>
          </w:p>
          <w:p w:rsidR="00C71482" w:rsidRPr="00B84FE8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</w:pPr>
            <w:r w:rsidRPr="00B03558">
              <w:rPr>
                <w:sz w:val="18"/>
                <w:szCs w:val="18"/>
              </w:rPr>
              <w:t>Překážky – kabely, nářadí, materiál apod.</w:t>
            </w:r>
            <w:r>
              <w:rPr>
                <w:sz w:val="18"/>
                <w:szCs w:val="18"/>
              </w:rPr>
              <w:t>,</w:t>
            </w:r>
          </w:p>
          <w:p w:rsidR="00C71482" w:rsidRPr="00C058E0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</w:pPr>
            <w:r>
              <w:rPr>
                <w:sz w:val="18"/>
                <w:szCs w:val="18"/>
              </w:rPr>
              <w:t>Pohyb křídel dveří a oken</w:t>
            </w:r>
          </w:p>
          <w:p w:rsidR="00C71482" w:rsidRPr="003B01CA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3B01CA">
              <w:rPr>
                <w:sz w:val="18"/>
                <w:szCs w:val="18"/>
              </w:rPr>
              <w:t>Nevhodný nábytek,</w:t>
            </w:r>
          </w:p>
          <w:p w:rsidR="00C71482" w:rsidRPr="003B01CA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3B01CA">
              <w:rPr>
                <w:sz w:val="18"/>
                <w:szCs w:val="18"/>
              </w:rPr>
              <w:t>Nevhodně umístěný nábytek,</w:t>
            </w:r>
          </w:p>
          <w:p w:rsidR="00C71482" w:rsidRPr="003B01CA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3B01CA">
              <w:rPr>
                <w:sz w:val="18"/>
                <w:szCs w:val="18"/>
              </w:rPr>
              <w:t>Poškozený nábytek,</w:t>
            </w:r>
          </w:p>
          <w:p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</w:pPr>
            <w:r>
              <w:rPr>
                <w:sz w:val="18"/>
                <w:szCs w:val="18"/>
              </w:rPr>
              <w:t>Přetížené police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>Pády osob,</w:t>
            </w:r>
          </w:p>
          <w:p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>Špatné došlápnutí,</w:t>
            </w:r>
          </w:p>
          <w:p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>Podvrtnutí,</w:t>
            </w:r>
          </w:p>
          <w:p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>Náraz na překážky,</w:t>
            </w:r>
          </w:p>
          <w:p w:rsidR="00C71482" w:rsidRPr="00045DA6" w:rsidRDefault="00C71482" w:rsidP="00830D44">
            <w:pPr>
              <w:pStyle w:val="Default"/>
              <w:spacing w:after="120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 xml:space="preserve">Přiražení, naražení neočekávaným pohybem křídel, </w:t>
            </w:r>
          </w:p>
          <w:p w:rsidR="00C71482" w:rsidRPr="00045DA6" w:rsidRDefault="00C71482" w:rsidP="00830D44">
            <w:pPr>
              <w:pStyle w:val="Default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 xml:space="preserve">Pořezání o sklo rozbité skleněné výplně, </w:t>
            </w:r>
          </w:p>
          <w:p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>Naražení části těl o ostré rohy nábytku,</w:t>
            </w:r>
          </w:p>
          <w:p w:rsidR="00C71482" w:rsidRDefault="00C71482" w:rsidP="00830D44">
            <w:pPr>
              <w:spacing w:after="120"/>
              <w:jc w:val="center"/>
            </w:pPr>
            <w:r w:rsidRPr="00045DA6">
              <w:rPr>
                <w:sz w:val="18"/>
                <w:szCs w:val="18"/>
              </w:rPr>
              <w:t>Pád předmětů a věcí na osoby.</w:t>
            </w:r>
            <w:r>
              <w:t xml:space="preserve"> </w:t>
            </w:r>
          </w:p>
        </w:tc>
        <w:tc>
          <w:tcPr>
            <w:tcW w:w="1263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C71482" w:rsidRDefault="00C71482" w:rsidP="00830D44">
            <w:pPr>
              <w:spacing w:after="120"/>
              <w:jc w:val="center"/>
            </w:pPr>
            <w:r>
              <w:t>Označení nebezpečných míst,</w:t>
            </w:r>
          </w:p>
          <w:p w:rsidR="00C71482" w:rsidRDefault="00C71482" w:rsidP="00830D44">
            <w:pPr>
              <w:spacing w:after="120"/>
              <w:jc w:val="center"/>
            </w:pPr>
            <w:r>
              <w:t>Nepřipustit trvalé překážky,</w:t>
            </w:r>
          </w:p>
          <w:p w:rsidR="00C71482" w:rsidRDefault="00C71482" w:rsidP="00830D44">
            <w:pPr>
              <w:spacing w:after="120"/>
              <w:jc w:val="center"/>
            </w:pPr>
            <w:r>
              <w:t>Umístění bezpečnostních značek a varovných signálů,</w:t>
            </w:r>
          </w:p>
          <w:p w:rsidR="00C71482" w:rsidRPr="00F509B5" w:rsidRDefault="00C71482" w:rsidP="00830D44">
            <w:pPr>
              <w:spacing w:after="120"/>
              <w:jc w:val="center"/>
            </w:pPr>
            <w:r>
              <w:t>Z</w:t>
            </w:r>
            <w:r w:rsidRPr="00F509B5">
              <w:t>řetelně označovat průhledné nebo průsvitné stěny a přepážky v místnostech, zejména celoskleněná dveřní křídla,</w:t>
            </w:r>
          </w:p>
          <w:p w:rsidR="00C71482" w:rsidRDefault="00C71482" w:rsidP="00830D44">
            <w:pPr>
              <w:spacing w:after="120"/>
              <w:jc w:val="center"/>
            </w:pPr>
            <w:r>
              <w:t>R</w:t>
            </w:r>
            <w:r w:rsidRPr="00F509B5">
              <w:t>ozbité nebo prasklé skleněné výplně okamžitě vymě</w:t>
            </w:r>
            <w:r>
              <w:t>nit,</w:t>
            </w:r>
          </w:p>
          <w:p w:rsidR="00C71482" w:rsidRDefault="00C71482" w:rsidP="00830D44">
            <w:pPr>
              <w:spacing w:after="120"/>
              <w:jc w:val="center"/>
            </w:pPr>
            <w:r w:rsidRPr="00045DA6">
              <w:rPr>
                <w:color w:val="000000" w:themeColor="text1"/>
              </w:rPr>
              <w:t>Provádět zajištění křídel dveří nebo oken proti samovolnému zavření</w:t>
            </w:r>
            <w:r>
              <w:rPr>
                <w:color w:val="000000" w:themeColor="text1"/>
              </w:rPr>
              <w:t xml:space="preserve"> (háčky, táhla, zástrčky apod.),</w:t>
            </w:r>
          </w:p>
          <w:p w:rsidR="00C71482" w:rsidRDefault="00C71482" w:rsidP="00830D44">
            <w:pPr>
              <w:spacing w:after="120"/>
              <w:jc w:val="center"/>
              <w:rPr>
                <w:color w:val="FF0000"/>
              </w:rPr>
            </w:pPr>
            <w:r w:rsidRPr="00B16EC4">
              <w:rPr>
                <w:color w:val="FF0000"/>
              </w:rPr>
              <w:t>Dbát zvýšené opatrnosti,</w:t>
            </w:r>
          </w:p>
          <w:p w:rsidR="00C71482" w:rsidRPr="00A9377E" w:rsidRDefault="00C71482" w:rsidP="00830D44">
            <w:pPr>
              <w:spacing w:after="120"/>
              <w:jc w:val="center"/>
              <w:rPr>
                <w:color w:val="FF0000"/>
              </w:rPr>
            </w:pPr>
            <w:r w:rsidRPr="00A9377E">
              <w:rPr>
                <w:color w:val="FF0000"/>
              </w:rPr>
              <w:t>Dbát na používán</w:t>
            </w:r>
            <w:r>
              <w:rPr>
                <w:color w:val="FF0000"/>
              </w:rPr>
              <w:t>í stanovených přístupových cest.</w:t>
            </w:r>
            <w:r w:rsidRPr="00A9377E">
              <w:rPr>
                <w:color w:val="FF0000"/>
              </w:rPr>
              <w:t xml:space="preserve"> </w:t>
            </w:r>
          </w:p>
        </w:tc>
      </w:tr>
      <w:tr w:rsidR="00C71482" w:rsidTr="007369B3">
        <w:tc>
          <w:tcPr>
            <w:tcW w:w="2221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71482" w:rsidRPr="00B03558" w:rsidRDefault="00C71482" w:rsidP="00830D44">
            <w:pPr>
              <w:rPr>
                <w:sz w:val="22"/>
              </w:rPr>
            </w:pPr>
            <w:r w:rsidRPr="00B03558">
              <w:rPr>
                <w:sz w:val="22"/>
              </w:rPr>
              <w:t>Používání výtahů a eskalátorů</w:t>
            </w:r>
          </w:p>
        </w:tc>
        <w:tc>
          <w:tcPr>
            <w:tcW w:w="299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1482" w:rsidRPr="00B03558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B03558">
              <w:rPr>
                <w:sz w:val="18"/>
                <w:szCs w:val="18"/>
              </w:rPr>
              <w:t>Zdvihací zařízení</w:t>
            </w:r>
          </w:p>
        </w:tc>
        <w:tc>
          <w:tcPr>
            <w:tcW w:w="26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1482" w:rsidRPr="00B03558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B03558">
              <w:rPr>
                <w:sz w:val="18"/>
                <w:szCs w:val="18"/>
              </w:rPr>
              <w:t>Zachycení,</w:t>
            </w:r>
          </w:p>
          <w:p w:rsidR="00C71482" w:rsidRPr="00B03558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B03558">
              <w:rPr>
                <w:sz w:val="18"/>
                <w:szCs w:val="18"/>
              </w:rPr>
              <w:t>Fóbie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639" w:type="dxa"/>
            <w:tcBorders>
              <w:left w:val="double" w:sz="4" w:space="0" w:color="auto"/>
            </w:tcBorders>
          </w:tcPr>
          <w:p w:rsidR="00C71482" w:rsidRPr="003A2BC7" w:rsidRDefault="00C71482" w:rsidP="00830D44">
            <w:pPr>
              <w:spacing w:after="120"/>
              <w:jc w:val="center"/>
              <w:rPr>
                <w:color w:val="FF0000"/>
              </w:rPr>
            </w:pPr>
            <w:r w:rsidRPr="003A2BC7">
              <w:rPr>
                <w:color w:val="FF0000"/>
              </w:rPr>
              <w:t>Postupovat v souladu s návodem k použití,</w:t>
            </w:r>
          </w:p>
          <w:p w:rsidR="00C71482" w:rsidRDefault="00C71482" w:rsidP="00830D44">
            <w:pPr>
              <w:spacing w:after="120"/>
              <w:jc w:val="center"/>
            </w:pPr>
            <w:r w:rsidRPr="003A2BC7">
              <w:rPr>
                <w:color w:val="FF0000"/>
              </w:rPr>
              <w:t>Dbát zvýšené opatrnosti.</w:t>
            </w:r>
          </w:p>
        </w:tc>
      </w:tr>
      <w:tr w:rsidR="00C71482" w:rsidRPr="003B01CA" w:rsidTr="007369B3">
        <w:tc>
          <w:tcPr>
            <w:tcW w:w="2221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71482" w:rsidRPr="00045DA6" w:rsidRDefault="00C71482" w:rsidP="00830D44">
            <w:pPr>
              <w:rPr>
                <w:sz w:val="22"/>
              </w:rPr>
            </w:pPr>
            <w:r w:rsidRPr="00D47D06">
              <w:rPr>
                <w:sz w:val="22"/>
              </w:rPr>
              <w:t>Činnosti v příručních skladech, spisovnách a archivech</w:t>
            </w:r>
          </w:p>
        </w:tc>
        <w:tc>
          <w:tcPr>
            <w:tcW w:w="299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1482" w:rsidRPr="00FE1BA8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FE1BA8">
              <w:rPr>
                <w:sz w:val="18"/>
                <w:szCs w:val="18"/>
              </w:rPr>
              <w:t>Zřícení nebo pád regálů,</w:t>
            </w:r>
          </w:p>
          <w:p w:rsidR="00C71482" w:rsidRPr="00C7001C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Pád osob</w:t>
            </w:r>
          </w:p>
        </w:tc>
        <w:tc>
          <w:tcPr>
            <w:tcW w:w="26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>Přitlačení nebo zasypání osob ukládanými předměty a regály.</w:t>
            </w:r>
          </w:p>
        </w:tc>
        <w:tc>
          <w:tcPr>
            <w:tcW w:w="12639" w:type="dxa"/>
            <w:tcBorders>
              <w:left w:val="double" w:sz="4" w:space="0" w:color="auto"/>
            </w:tcBorders>
            <w:vAlign w:val="center"/>
          </w:tcPr>
          <w:p w:rsidR="00C71482" w:rsidRPr="00045DA6" w:rsidRDefault="00C71482" w:rsidP="00830D44">
            <w:pPr>
              <w:spacing w:after="120"/>
              <w:jc w:val="center"/>
            </w:pPr>
            <w:r w:rsidRPr="003A2BC7">
              <w:rPr>
                <w:color w:val="FF0000"/>
              </w:rPr>
              <w:t>Věnovat zvýšenou opatrnost pohybu v těchto místnostech.</w:t>
            </w:r>
          </w:p>
        </w:tc>
      </w:tr>
      <w:tr w:rsidR="00E0511E" w:rsidTr="007369B3">
        <w:trPr>
          <w:trHeight w:val="839"/>
        </w:trPr>
        <w:tc>
          <w:tcPr>
            <w:tcW w:w="20544" w:type="dxa"/>
            <w:gridSpan w:val="4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0511E" w:rsidRDefault="00E0511E" w:rsidP="00E30B4A">
            <w:pPr>
              <w:jc w:val="center"/>
            </w:pPr>
            <w:r w:rsidRPr="00A46F95">
              <w:rPr>
                <w:color w:val="FF9900"/>
                <w:sz w:val="32"/>
                <w:szCs w:val="32"/>
              </w:rPr>
              <w:lastRenderedPageBreak/>
              <w:t>Základní činnosti ve venkovních prostorách SŽ (mimo ŽDC)</w:t>
            </w:r>
          </w:p>
        </w:tc>
      </w:tr>
      <w:tr w:rsidR="00C71482" w:rsidTr="007369B3"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1482" w:rsidRDefault="00C71482" w:rsidP="00830D44">
            <w:pPr>
              <w:rPr>
                <w:sz w:val="22"/>
              </w:rPr>
            </w:pPr>
            <w:r>
              <w:rPr>
                <w:sz w:val="22"/>
              </w:rPr>
              <w:t>Pěší pohyb ve veřejně přístupných prostorách a na komunikacích (mimo ŽDC)</w:t>
            </w:r>
          </w:p>
        </w:tc>
        <w:tc>
          <w:tcPr>
            <w:tcW w:w="29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C71482" w:rsidRPr="00DF16BC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</w:p>
          <w:p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Nerovný povrch,</w:t>
            </w:r>
          </w:p>
          <w:p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Kluzký povrch,</w:t>
            </w:r>
          </w:p>
          <w:p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Poškozený povrch</w:t>
            </w:r>
          </w:p>
          <w:p w:rsidR="00C71482" w:rsidRPr="008E0229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Překážky –nářadí, materiál apod.,</w:t>
            </w:r>
          </w:p>
          <w:p w:rsidR="00C71482" w:rsidRPr="008E0229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8E0229">
              <w:rPr>
                <w:sz w:val="18"/>
                <w:szCs w:val="18"/>
              </w:rPr>
              <w:t>Silniční provoz,</w:t>
            </w:r>
          </w:p>
          <w:p w:rsidR="00C71482" w:rsidRPr="00C7001C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8E0229">
              <w:rPr>
                <w:sz w:val="18"/>
                <w:szCs w:val="18"/>
              </w:rPr>
              <w:t>Pevné překážky na cestách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Pády osob,</w:t>
            </w:r>
          </w:p>
          <w:p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Špatné došlápnutí,</w:t>
            </w:r>
          </w:p>
          <w:p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Podvrtnutí,</w:t>
            </w:r>
          </w:p>
          <w:p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Náraz na překážky,</w:t>
            </w:r>
          </w:p>
          <w:p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Střet se silničními vozidly</w:t>
            </w:r>
          </w:p>
        </w:tc>
        <w:tc>
          <w:tcPr>
            <w:tcW w:w="1263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71482" w:rsidRDefault="00C71482" w:rsidP="00830D44">
            <w:pPr>
              <w:spacing w:after="120"/>
              <w:jc w:val="center"/>
            </w:pPr>
            <w:r>
              <w:t>Označení nebezpečných míst,</w:t>
            </w:r>
          </w:p>
          <w:p w:rsidR="00C71482" w:rsidRDefault="00C71482" w:rsidP="00830D44">
            <w:pPr>
              <w:spacing w:after="120"/>
              <w:jc w:val="center"/>
            </w:pPr>
            <w:r>
              <w:t>Dbát zvýšené opatrnosti,</w:t>
            </w:r>
          </w:p>
          <w:p w:rsidR="00C71482" w:rsidRDefault="00C71482" w:rsidP="00830D44">
            <w:pPr>
              <w:spacing w:after="120"/>
              <w:jc w:val="center"/>
            </w:pPr>
            <w:r>
              <w:t>Pravidelné čištění přístupových cest, vnitropodnikových komunikací a pochůzných ploch,</w:t>
            </w:r>
          </w:p>
          <w:p w:rsidR="00C71482" w:rsidRPr="00045DA6" w:rsidRDefault="00C71482" w:rsidP="00830D44">
            <w:pPr>
              <w:spacing w:after="120"/>
              <w:jc w:val="center"/>
            </w:pPr>
            <w:r w:rsidRPr="00045DA6">
              <w:t>Povinnost osob nahlašovat závady,</w:t>
            </w:r>
          </w:p>
          <w:p w:rsidR="00C71482" w:rsidRPr="00045DA6" w:rsidRDefault="00C71482" w:rsidP="00830D44">
            <w:pPr>
              <w:spacing w:after="120"/>
              <w:jc w:val="center"/>
            </w:pPr>
            <w:r w:rsidRPr="003A2BC7">
              <w:rPr>
                <w:color w:val="FF0000"/>
              </w:rPr>
              <w:t>Dbát na používání stanovených přístupových cest.</w:t>
            </w:r>
          </w:p>
        </w:tc>
      </w:tr>
      <w:tr w:rsidR="00C71482" w:rsidTr="007369B3">
        <w:tc>
          <w:tcPr>
            <w:tcW w:w="22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71482" w:rsidRDefault="00C71482" w:rsidP="00830D44">
            <w:pPr>
              <w:rPr>
                <w:sz w:val="22"/>
              </w:rPr>
            </w:pPr>
            <w:r>
              <w:rPr>
                <w:sz w:val="22"/>
              </w:rPr>
              <w:t>Činnost na rampách</w:t>
            </w:r>
          </w:p>
        </w:tc>
        <w:tc>
          <w:tcPr>
            <w:tcW w:w="2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Konstrukce a zajištění rampy,</w:t>
            </w:r>
          </w:p>
          <w:p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Klimatické podmínky,</w:t>
            </w:r>
          </w:p>
          <w:p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Skladování materiálu,</w:t>
            </w:r>
          </w:p>
          <w:p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Doprava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Pády osob z volného okraje,</w:t>
            </w:r>
          </w:p>
          <w:p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Uklouznutí po namrzlém (zledovatělém) povrchu,</w:t>
            </w:r>
          </w:p>
          <w:p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Pády předmětů z výšky,</w:t>
            </w:r>
          </w:p>
          <w:p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Zachycení a sražení osob dopravním prostředkem nebo technikou,</w:t>
            </w:r>
          </w:p>
          <w:p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Naražení osob na překážku</w:t>
            </w:r>
          </w:p>
        </w:tc>
        <w:tc>
          <w:tcPr>
            <w:tcW w:w="126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71482" w:rsidRDefault="00C71482" w:rsidP="00830D44">
            <w:pPr>
              <w:spacing w:after="120"/>
              <w:jc w:val="center"/>
            </w:pPr>
            <w:r>
              <w:t>Umístění bezpečnostních značek a varovných signálů,</w:t>
            </w:r>
          </w:p>
          <w:p w:rsidR="00C71482" w:rsidRDefault="00C71482" w:rsidP="00830D44">
            <w:pPr>
              <w:spacing w:after="120"/>
              <w:jc w:val="center"/>
            </w:pPr>
            <w:r>
              <w:t>Označení nebezpečných míst,</w:t>
            </w:r>
          </w:p>
          <w:p w:rsidR="00C71482" w:rsidRPr="00045DA6" w:rsidRDefault="00C71482" w:rsidP="00830D44">
            <w:pPr>
              <w:spacing w:after="120"/>
              <w:jc w:val="center"/>
            </w:pPr>
            <w:r w:rsidRPr="003A2BC7">
              <w:rPr>
                <w:color w:val="FF0000"/>
              </w:rPr>
              <w:t>Dbát zvýšené opatrnosti.</w:t>
            </w:r>
          </w:p>
        </w:tc>
      </w:tr>
    </w:tbl>
    <w:p w:rsidR="00875BDC" w:rsidRDefault="00875BDC" w:rsidP="00875BDC">
      <w:bookmarkStart w:id="0" w:name="_GoBack"/>
      <w:bookmarkEnd w:id="0"/>
    </w:p>
    <w:sectPr w:rsidR="00875BDC" w:rsidSect="00D3660D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204E8"/>
    <w:multiLevelType w:val="hybridMultilevel"/>
    <w:tmpl w:val="B3FEBC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D339C"/>
    <w:multiLevelType w:val="hybridMultilevel"/>
    <w:tmpl w:val="459002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45347C"/>
    <w:multiLevelType w:val="hybridMultilevel"/>
    <w:tmpl w:val="93940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84ACE"/>
    <w:multiLevelType w:val="hybridMultilevel"/>
    <w:tmpl w:val="0E4E2B5A"/>
    <w:lvl w:ilvl="0" w:tplc="04050001">
      <w:start w:val="1"/>
      <w:numFmt w:val="bullet"/>
      <w:lvlText w:val=""/>
      <w:lvlJc w:val="left"/>
      <w:pPr>
        <w:ind w:left="10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4" w15:restartNumberingAfterBreak="0">
    <w:nsid w:val="609802D2"/>
    <w:multiLevelType w:val="hybridMultilevel"/>
    <w:tmpl w:val="A80EA3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6F13FC"/>
    <w:multiLevelType w:val="hybridMultilevel"/>
    <w:tmpl w:val="C4B28D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D6D"/>
    <w:rsid w:val="00020A23"/>
    <w:rsid w:val="000D57C1"/>
    <w:rsid w:val="000F0EC6"/>
    <w:rsid w:val="00127826"/>
    <w:rsid w:val="0013606A"/>
    <w:rsid w:val="00352E31"/>
    <w:rsid w:val="00366293"/>
    <w:rsid w:val="003727EC"/>
    <w:rsid w:val="003B554E"/>
    <w:rsid w:val="00434A09"/>
    <w:rsid w:val="00493DF9"/>
    <w:rsid w:val="004D4B94"/>
    <w:rsid w:val="004D5673"/>
    <w:rsid w:val="004E022C"/>
    <w:rsid w:val="00512B3C"/>
    <w:rsid w:val="005469A4"/>
    <w:rsid w:val="0057487A"/>
    <w:rsid w:val="005D4A08"/>
    <w:rsid w:val="00601A42"/>
    <w:rsid w:val="00650287"/>
    <w:rsid w:val="006B32CD"/>
    <w:rsid w:val="007369B3"/>
    <w:rsid w:val="008455E6"/>
    <w:rsid w:val="00875BDC"/>
    <w:rsid w:val="008D0E2A"/>
    <w:rsid w:val="008E38EF"/>
    <w:rsid w:val="00944BE0"/>
    <w:rsid w:val="00A10937"/>
    <w:rsid w:val="00A15E86"/>
    <w:rsid w:val="00AA333D"/>
    <w:rsid w:val="00AF6A9E"/>
    <w:rsid w:val="00B216F5"/>
    <w:rsid w:val="00B46083"/>
    <w:rsid w:val="00B46FF9"/>
    <w:rsid w:val="00B9395C"/>
    <w:rsid w:val="00BA07C0"/>
    <w:rsid w:val="00BF6A6B"/>
    <w:rsid w:val="00C01FA3"/>
    <w:rsid w:val="00C71482"/>
    <w:rsid w:val="00D25570"/>
    <w:rsid w:val="00D3660D"/>
    <w:rsid w:val="00DD4D6D"/>
    <w:rsid w:val="00E0511E"/>
    <w:rsid w:val="00E30B4A"/>
    <w:rsid w:val="00FD1F25"/>
    <w:rsid w:val="00FF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956F5-1C55-4256-B288-0FA83BB39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Default">
    <w:name w:val="Default"/>
    <w:rsid w:val="00DD4D6D"/>
    <w:pPr>
      <w:autoSpaceDE w:val="0"/>
      <w:autoSpaceDN w:val="0"/>
      <w:adjustRightInd w:val="0"/>
      <w:spacing w:after="0" w:line="240" w:lineRule="auto"/>
    </w:pPr>
    <w:rPr>
      <w:rFonts w:cs="Verdan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DD4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875B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4D567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4D567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4D567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4D567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020A2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020A2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020A2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020A2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DB51B828854748B5D58FA93F47E5AB" ma:contentTypeVersion="0" ma:contentTypeDescription="Vytvořit nový dokument" ma:contentTypeScope="" ma:versionID="c2435958e2c45c205c3b4fd8a2b4c3c1">
  <xsd:schema xmlns:xsd="http://www.w3.org/2001/XMLSchema" xmlns:p="http://schemas.microsoft.com/office/2006/metadata/properties" targetNamespace="http://schemas.microsoft.com/office/2006/metadata/properties" ma:root="true" ma:fieldsID="61aa54ef5f2fb0466827584fd5ae15d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Typ obsahu" ma:readOnly="true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500E68E-829D-431C-ABE0-0077E1DD765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E13894-AB22-4AD8-97DD-DA06F3FDE7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012317-9335-403D-AD72-3F8EB3AD3B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Fuchsa Tomáš, Ing.</dc:creator>
  <cp:lastModifiedBy>Boučková Alena, Ing.</cp:lastModifiedBy>
  <cp:revision>2</cp:revision>
  <dcterms:created xsi:type="dcterms:W3CDTF">2021-05-18T11:27:00Z</dcterms:created>
  <dcterms:modified xsi:type="dcterms:W3CDTF">2021-05-18T11:27:00Z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0x01010033DB51B828854748B5D58FA93F47E5AB</vt:lpwstr>
  </property>
</Properties>
</file>