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36CC0CFD" w:rsidR="00F422D3" w:rsidRDefault="00F422D3" w:rsidP="00B42F40">
      <w:pPr>
        <w:pStyle w:val="Titul2"/>
      </w:pPr>
      <w:r>
        <w:t>Název zakázky: „</w:t>
      </w:r>
      <w:r w:rsidR="00E11D13">
        <w:t>Oprava mostu v km 66,856 Havlovice - Tachov</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bookmarkStart w:id="0" w:name="_GoBack"/>
      <w:bookmarkEnd w:id="0"/>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C143FB">
        <w:tab/>
      </w:r>
      <w:r w:rsidRPr="00C143FB">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496A99D1" w:rsidR="00FB598F" w:rsidRDefault="00FB598F" w:rsidP="00FB598F">
      <w:pPr>
        <w:pStyle w:val="Textbezodsazen"/>
        <w:spacing w:after="0"/>
      </w:pPr>
      <w:r w:rsidRPr="00C143FB">
        <w:t xml:space="preserve">evidenční číslo v RVZ: </w:t>
      </w:r>
      <w:r w:rsidR="00527E9E" w:rsidRPr="00C143FB">
        <w:t>65421</w:t>
      </w:r>
      <w:r w:rsidR="00C143FB" w:rsidRPr="00C143FB">
        <w:t>042</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6743A10C"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C143FB">
        <w:t xml:space="preserve">65421042 </w:t>
      </w:r>
      <w:r w:rsidRPr="00F97DBD">
        <w:t xml:space="preserve">svůj úmysl zadat </w:t>
      </w:r>
      <w:r>
        <w:t xml:space="preserve">ve výběrovém řízení </w:t>
      </w:r>
      <w:r w:rsidRPr="00F97DBD">
        <w:t xml:space="preserve">veřejnou zakázku s názvem </w:t>
      </w:r>
      <w:r w:rsidRPr="003F35F3">
        <w:rPr>
          <w:b/>
        </w:rPr>
        <w:t>„</w:t>
      </w:r>
      <w:r w:rsidR="00C143FB">
        <w:rPr>
          <w:rFonts w:ascii="Verdana" w:hAnsi="Verdana"/>
          <w:b/>
        </w:rPr>
        <w:t>Oprava mostu v km 66,856 Havlovice – Tachov“</w:t>
      </w:r>
      <w:r w:rsidR="00C143FB" w:rsidRPr="00F97DBD">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C143FB">
        <w:t xml:space="preserve">Rekapitulace </w:t>
      </w:r>
      <w:r w:rsidR="00F24489" w:rsidRPr="00C143FB">
        <w:t xml:space="preserve">Ceny Díla dle </w:t>
      </w:r>
      <w:r w:rsidR="00A40CD0" w:rsidRPr="00C143FB">
        <w:t xml:space="preserve">objektů </w:t>
      </w:r>
      <w:r w:rsidR="00F24489" w:rsidRPr="00C143FB">
        <w:t xml:space="preserve">stavebních </w:t>
      </w:r>
      <w:r w:rsidR="00A40CD0" w:rsidRPr="00C143FB">
        <w:t xml:space="preserve">částí </w:t>
      </w:r>
      <w:r w:rsidR="00F24489" w:rsidRPr="00C143FB">
        <w:t xml:space="preserve">(SO) a </w:t>
      </w:r>
      <w:r w:rsidR="00A40CD0" w:rsidRPr="00C143FB">
        <w:t xml:space="preserve">objektů </w:t>
      </w:r>
      <w:r w:rsidR="00F24489" w:rsidRPr="00C143FB">
        <w:t xml:space="preserve">provozních </w:t>
      </w:r>
      <w:r w:rsidR="00A40CD0" w:rsidRPr="00C143FB">
        <w:t xml:space="preserve">částí </w:t>
      </w:r>
      <w:r w:rsidR="00F24489" w:rsidRPr="00C143FB">
        <w:t>(PS) je uveden</w:t>
      </w:r>
      <w:r w:rsidRPr="00C143FB">
        <w:t>a</w:t>
      </w:r>
      <w:r w:rsidR="00F24489" w:rsidRPr="00C143FB">
        <w:t xml:space="preserve"> v </w:t>
      </w:r>
      <w:hyperlink w:anchor="ListAnnex04" w:history="1">
        <w:r w:rsidR="00F24489" w:rsidRPr="00C143FB">
          <w:rPr>
            <w:rStyle w:val="Hypertextovodkaz"/>
            <w:rFonts w:cs="Calibri"/>
            <w:color w:val="auto"/>
          </w:rPr>
          <w:t>Příloze č. 4</w:t>
        </w:r>
      </w:hyperlink>
      <w:r w:rsidR="00F24489" w:rsidRPr="00C143FB">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C143FB" w:rsidRDefault="00F24489" w:rsidP="00F24489">
      <w:pPr>
        <w:pStyle w:val="Text1-1"/>
      </w:pPr>
      <w:r w:rsidRPr="00C143F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143FB">
        <w:rPr>
          <w:rStyle w:val="OdstavecsmlouvyChar"/>
          <w:rFonts w:eastAsiaTheme="minorHAnsi"/>
        </w:rPr>
        <w:t xml:space="preserve"> </w:t>
      </w:r>
      <w:r w:rsidRPr="00C143F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3B5167" w14:textId="00E3EB16" w:rsidR="00F24489" w:rsidRPr="00A21434" w:rsidRDefault="00856B99" w:rsidP="00A21434">
      <w:pPr>
        <w:pStyle w:val="Textbezslovn"/>
        <w:rPr>
          <w:b/>
        </w:rPr>
      </w:pPr>
      <w:r w:rsidRPr="00A21434">
        <w:rPr>
          <w:b/>
        </w:rPr>
        <w:t>Termín</w:t>
      </w:r>
      <w:r w:rsidR="00FB598F" w:rsidRPr="00A21434">
        <w:rPr>
          <w:b/>
        </w:rPr>
        <w:t xml:space="preserve"> dokončení díla je: </w:t>
      </w:r>
      <w:r w:rsidR="00C143FB" w:rsidRPr="00A21434">
        <w:rPr>
          <w:b/>
        </w:rPr>
        <w:t>30. 11. 2021</w:t>
      </w:r>
      <w:r w:rsidR="00A21434" w:rsidRPr="00A21434">
        <w:rPr>
          <w:b/>
        </w:rPr>
        <w:t xml:space="preserve"> </w:t>
      </w:r>
      <w:r w:rsidR="00F24489" w:rsidRPr="00A21434">
        <w:t>(dokladem prokazujícím, že Zhotovitel dokončil stavební práce a předal Objednateli veškerá plnění připadající na tuto část</w:t>
      </w:r>
      <w:r w:rsidR="00F24489">
        <w:t xml:space="preserve"> </w:t>
      </w:r>
      <w:r w:rsidR="00F24489" w:rsidRPr="00F97DBD">
        <w:t>Díl</w:t>
      </w:r>
      <w:r w:rsidR="00F24489">
        <w:t>a</w:t>
      </w:r>
      <w:r w:rsidR="00F24489"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6487A" w14:textId="222A6BBB" w:rsidR="00F24489" w:rsidRPr="00A21434" w:rsidRDefault="00F24489" w:rsidP="00F24489">
      <w:pPr>
        <w:pStyle w:val="Text1-1"/>
      </w:pPr>
      <w:r w:rsidRPr="00A21434">
        <w:t>Zhotovitel se zavazuje zajistit realizaci prací na Díle tak, aby v případě nepřetržitých výluk trvajících více než 36 hodin probíhala realizace prací na Díle minimálně 1</w:t>
      </w:r>
      <w:r w:rsidR="00A21434" w:rsidRPr="00A21434">
        <w:t>2</w:t>
      </w:r>
      <w:r w:rsidRPr="00A21434">
        <w:t xml:space="preserve">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7218768C" w:rsidR="00214C3E" w:rsidRPr="00A21434" w:rsidRDefault="00214C3E" w:rsidP="00A21434">
      <w:pPr>
        <w:pStyle w:val="Text1-1"/>
      </w:pPr>
      <w:r w:rsidRPr="00A21434">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C33F57"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C33F57">
        <w:t>vlastními prostředky.</w:t>
      </w:r>
    </w:p>
    <w:p w14:paraId="1F1249D4" w14:textId="77777777" w:rsidR="00A90618" w:rsidRPr="00C33F57" w:rsidRDefault="00A90618" w:rsidP="00A90618">
      <w:pPr>
        <w:pStyle w:val="Text1-1"/>
      </w:pPr>
      <w:r w:rsidRPr="00C33F5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Pr="00C33F57" w:rsidRDefault="005A6B21" w:rsidP="005A6B21">
      <w:pPr>
        <w:pStyle w:val="Text1-1"/>
      </w:pPr>
      <w:r w:rsidRPr="005A6B21">
        <w:t xml:space="preserve">Bod 13.3. Obchodních podmínek se mění takto: </w:t>
      </w:r>
      <w:r w:rsidRPr="00C33F57">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77777777" w:rsidR="00214C3E" w:rsidRDefault="00214C3E" w:rsidP="00E70DF3">
      <w:pPr>
        <w:pStyle w:val="Text1-1"/>
      </w:pPr>
      <w:commentRangeStart w:id="2"/>
      <w:r w:rsidRPr="00D16407">
        <w:rPr>
          <w:highlight w:val="green"/>
        </w:rPr>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Pr="00E70DF3">
        <w:rPr>
          <w:highlight w:val="green"/>
          <w:lang w:val="en-US"/>
        </w:rPr>
        <w:t>[</w:t>
      </w:r>
      <w:r w:rsidRPr="00E70DF3">
        <w:rPr>
          <w:highlight w:val="green"/>
        </w:rPr>
        <w:t>VLOŽÍ OBJEDNATEL]</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commentRangeEnd w:id="2"/>
      <w:r w:rsidR="00E70DF3">
        <w:rPr>
          <w:rStyle w:val="Odkaznakoment"/>
          <w:rFonts w:ascii="Arial" w:eastAsia="Times New Roman" w:hAnsi="Arial" w:cs="Arial"/>
          <w:lang w:eastAsia="cs-CZ"/>
        </w:rPr>
        <w:commentReference w:id="2"/>
      </w:r>
      <w:r w:rsidRPr="00D16407">
        <w:rPr>
          <w:highlight w:val="green"/>
        </w:rPr>
        <w:t>.</w:t>
      </w: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518"/>
        <w:gridCol w:w="6118"/>
      </w:tblGrid>
      <w:tr w:rsidR="00214C3E" w:rsidRPr="00F97DBD" w14:paraId="38C1C5DF" w14:textId="77777777" w:rsidTr="00C33F57">
        <w:trPr>
          <w:jc w:val="center"/>
        </w:trPr>
        <w:tc>
          <w:tcPr>
            <w:tcW w:w="1458" w:type="pct"/>
          </w:tcPr>
          <w:bookmarkStart w:id="3"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542" w:type="pct"/>
          </w:tcPr>
          <w:p w14:paraId="450DAD65" w14:textId="567C1A87" w:rsidR="00214C3E" w:rsidRPr="00F97DBD" w:rsidRDefault="00214C3E" w:rsidP="00C33F57">
            <w:pPr>
              <w:pStyle w:val="Textbezslovn"/>
              <w:ind w:left="175"/>
            </w:pPr>
            <w:r w:rsidRPr="00F97DBD">
              <w:t xml:space="preserve">Obchodní podmínky </w:t>
            </w:r>
          </w:p>
        </w:tc>
      </w:tr>
      <w:bookmarkStart w:id="4" w:name="ListAnnex02"/>
      <w:tr w:rsidR="00214C3E" w:rsidRPr="00F97DBD" w14:paraId="5094C456" w14:textId="77777777" w:rsidTr="00C33F57">
        <w:trPr>
          <w:jc w:val="center"/>
        </w:trPr>
        <w:tc>
          <w:tcPr>
            <w:tcW w:w="1458"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3542" w:type="pct"/>
          </w:tcPr>
          <w:p w14:paraId="71A62981" w14:textId="77777777" w:rsidR="00214C3E" w:rsidRPr="00C33F57" w:rsidRDefault="00214C3E" w:rsidP="00C33F57">
            <w:pPr>
              <w:pStyle w:val="Textbezslovn"/>
              <w:ind w:left="175"/>
              <w:jc w:val="left"/>
            </w:pPr>
            <w:r w:rsidRPr="00C33F57">
              <w:t xml:space="preserve">Technické podmínky: </w:t>
            </w:r>
            <w:r w:rsidRPr="00C33F57">
              <w:br/>
              <w:t xml:space="preserve">a) Technické kvalitativní podmínky staveb státních drah (TKP Staveb) </w:t>
            </w:r>
          </w:p>
          <w:p w14:paraId="0E932CE2" w14:textId="27932D4A" w:rsidR="00214C3E" w:rsidRPr="00C33F57" w:rsidRDefault="00214C3E" w:rsidP="00C33F57">
            <w:pPr>
              <w:pStyle w:val="Textbezslovn"/>
              <w:ind w:left="175"/>
              <w:jc w:val="left"/>
            </w:pPr>
            <w:r w:rsidRPr="00C33F57">
              <w:t xml:space="preserve">b) Všeobecné technické podmínky realizace stavby </w:t>
            </w:r>
          </w:p>
          <w:p w14:paraId="3F2D86AF" w14:textId="77777777" w:rsidR="00214C3E" w:rsidRPr="00F97DBD" w:rsidRDefault="00214C3E" w:rsidP="00C33F57">
            <w:pPr>
              <w:pStyle w:val="Textbezslovn"/>
              <w:ind w:left="175"/>
              <w:jc w:val="left"/>
            </w:pPr>
            <w:r w:rsidRPr="00C33F57">
              <w:t>c) Zvláštní technické podmínky včetně příloh</w:t>
            </w:r>
          </w:p>
        </w:tc>
      </w:tr>
      <w:bookmarkStart w:id="5" w:name="ListAnnex03"/>
      <w:tr w:rsidR="00214C3E" w:rsidRPr="00F97DBD" w14:paraId="032E0A95" w14:textId="77777777" w:rsidTr="00C33F57">
        <w:trPr>
          <w:jc w:val="center"/>
        </w:trPr>
        <w:tc>
          <w:tcPr>
            <w:tcW w:w="1458"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3542" w:type="pct"/>
          </w:tcPr>
          <w:p w14:paraId="1A3BCCD7" w14:textId="77777777" w:rsidR="00214C3E" w:rsidRPr="00F97DBD" w:rsidRDefault="00214C3E" w:rsidP="00C33F57">
            <w:pPr>
              <w:pStyle w:val="Textbezslovn"/>
              <w:ind w:left="175"/>
            </w:pPr>
            <w:r w:rsidRPr="00F97DBD">
              <w:t>Související dokumenty</w:t>
            </w:r>
          </w:p>
        </w:tc>
      </w:tr>
      <w:bookmarkStart w:id="6" w:name="ListAnnex04"/>
      <w:tr w:rsidR="00214C3E" w:rsidRPr="00F97DBD" w14:paraId="1BBB68A0" w14:textId="77777777" w:rsidTr="00C33F57">
        <w:trPr>
          <w:jc w:val="center"/>
        </w:trPr>
        <w:tc>
          <w:tcPr>
            <w:tcW w:w="1458"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3542" w:type="pct"/>
          </w:tcPr>
          <w:p w14:paraId="1CBD0D7E" w14:textId="77777777" w:rsidR="00214C3E" w:rsidRPr="00F97DBD" w:rsidRDefault="00214C3E" w:rsidP="00C33F57">
            <w:pPr>
              <w:pStyle w:val="Textbezslovn"/>
              <w:ind w:left="175"/>
            </w:pPr>
            <w:r>
              <w:t xml:space="preserve">Rozpis </w:t>
            </w:r>
            <w:r w:rsidRPr="00F97DBD">
              <w:t>Ceny Díla</w:t>
            </w:r>
          </w:p>
        </w:tc>
      </w:tr>
      <w:bookmarkStart w:id="7" w:name="ListAnnex05"/>
      <w:tr w:rsidR="00214C3E" w:rsidRPr="00F97DBD" w14:paraId="3DA60A4D" w14:textId="77777777" w:rsidTr="00C33F57">
        <w:trPr>
          <w:jc w:val="center"/>
        </w:trPr>
        <w:tc>
          <w:tcPr>
            <w:tcW w:w="1458"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3542" w:type="pct"/>
          </w:tcPr>
          <w:p w14:paraId="273BD6A4" w14:textId="77777777" w:rsidR="00214C3E" w:rsidRPr="00F97DBD" w:rsidRDefault="00214C3E" w:rsidP="00C33F57">
            <w:pPr>
              <w:pStyle w:val="Textbezslovn"/>
              <w:ind w:left="175"/>
            </w:pPr>
            <w:r w:rsidRPr="00F97DBD">
              <w:t>Harmonogram postupu prací</w:t>
            </w:r>
          </w:p>
        </w:tc>
      </w:tr>
      <w:bookmarkStart w:id="8" w:name="ListAnnex06"/>
      <w:tr w:rsidR="00214C3E" w:rsidRPr="00F97DBD" w14:paraId="77C63310" w14:textId="77777777" w:rsidTr="00C33F57">
        <w:trPr>
          <w:jc w:val="center"/>
        </w:trPr>
        <w:tc>
          <w:tcPr>
            <w:tcW w:w="1458"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3542" w:type="pct"/>
          </w:tcPr>
          <w:p w14:paraId="019CCF37" w14:textId="77777777" w:rsidR="00214C3E" w:rsidRPr="00F97DBD" w:rsidRDefault="00214C3E" w:rsidP="00C33F57">
            <w:pPr>
              <w:pStyle w:val="Textbezslovn"/>
              <w:ind w:left="175"/>
            </w:pPr>
            <w:r w:rsidRPr="00F97DBD">
              <w:t>Oprávněné osoby</w:t>
            </w:r>
          </w:p>
        </w:tc>
      </w:tr>
      <w:bookmarkStart w:id="9" w:name="ListAnnex07"/>
      <w:tr w:rsidR="00214C3E" w:rsidRPr="00F97DBD" w14:paraId="06D4FD62" w14:textId="77777777" w:rsidTr="00C33F57">
        <w:trPr>
          <w:jc w:val="center"/>
        </w:trPr>
        <w:tc>
          <w:tcPr>
            <w:tcW w:w="1458"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3542" w:type="pct"/>
          </w:tcPr>
          <w:p w14:paraId="253F4208" w14:textId="77777777" w:rsidR="00214C3E" w:rsidRPr="00F97DBD" w:rsidRDefault="00214C3E" w:rsidP="00C33F57">
            <w:pPr>
              <w:pStyle w:val="Textbezslovn"/>
              <w:ind w:left="175"/>
            </w:pPr>
            <w:r w:rsidRPr="00F97DBD">
              <w:t>Seznam požadovaných pojištění</w:t>
            </w:r>
          </w:p>
        </w:tc>
      </w:tr>
      <w:tr w:rsidR="00214C3E" w:rsidRPr="00F97DBD" w14:paraId="4CC56BFC" w14:textId="77777777" w:rsidTr="00C33F57">
        <w:trPr>
          <w:jc w:val="center"/>
        </w:trPr>
        <w:tc>
          <w:tcPr>
            <w:tcW w:w="1458" w:type="pct"/>
          </w:tcPr>
          <w:p w14:paraId="34094F3A" w14:textId="77777777" w:rsidR="00214C3E" w:rsidRPr="00F97DBD" w:rsidRDefault="00E11D1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542" w:type="pct"/>
          </w:tcPr>
          <w:p w14:paraId="64312781" w14:textId="77777777" w:rsidR="00214C3E" w:rsidRPr="00F97DBD" w:rsidRDefault="00214C3E" w:rsidP="00C33F57">
            <w:pPr>
              <w:pStyle w:val="Textbezslovn"/>
              <w:ind w:left="175"/>
            </w:pPr>
            <w:r w:rsidRPr="00F97DBD">
              <w:t xml:space="preserve">Seznam </w:t>
            </w:r>
            <w:r>
              <w:t>pod</w:t>
            </w:r>
            <w:r w:rsidRPr="00F97DBD">
              <w:t>dodavatelů</w:t>
            </w:r>
          </w:p>
        </w:tc>
      </w:tr>
      <w:tr w:rsidR="004904BE" w:rsidRPr="00F97DBD" w14:paraId="08350D98" w14:textId="77777777" w:rsidTr="00C33F57">
        <w:trPr>
          <w:jc w:val="center"/>
        </w:trPr>
        <w:tc>
          <w:tcPr>
            <w:tcW w:w="1458" w:type="pct"/>
          </w:tcPr>
          <w:p w14:paraId="4CCC8082" w14:textId="77777777" w:rsidR="004904BE" w:rsidRDefault="004904BE" w:rsidP="00214C3E">
            <w:pPr>
              <w:pStyle w:val="Textbezslovn"/>
            </w:pPr>
            <w:r w:rsidRPr="00214C3E">
              <w:rPr>
                <w:u w:val="single"/>
              </w:rPr>
              <w:lastRenderedPageBreak/>
              <w:t>Příloha č. 9</w:t>
            </w:r>
            <w:r>
              <w:t>:</w:t>
            </w:r>
          </w:p>
        </w:tc>
        <w:tc>
          <w:tcPr>
            <w:tcW w:w="3542" w:type="pct"/>
          </w:tcPr>
          <w:p w14:paraId="5C6ACC86" w14:textId="77777777" w:rsidR="004904BE" w:rsidRPr="00F97DBD" w:rsidRDefault="004904BE" w:rsidP="00C33F57">
            <w:pPr>
              <w:pStyle w:val="Textbezslovn"/>
              <w:ind w:left="175"/>
            </w:pPr>
            <w: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10"/>
      <w:r>
        <w:t>V………………dne ……………</w:t>
      </w:r>
      <w:r w:rsidR="00F422D3">
        <w:tab/>
      </w:r>
      <w:r w:rsidR="00F422D3">
        <w:tab/>
      </w:r>
      <w:r w:rsidR="00F422D3">
        <w:tab/>
      </w:r>
      <w:r w:rsidR="00F422D3">
        <w:tab/>
      </w:r>
      <w:r>
        <w:t>V………………… dne ………</w:t>
      </w:r>
      <w:commentRangeEnd w:id="10"/>
      <w:r w:rsidR="00E70DF3">
        <w:rPr>
          <w:rStyle w:val="Odkaznakoment"/>
          <w:rFonts w:ascii="Arial" w:eastAsia="Times New Roman" w:hAnsi="Arial" w:cs="Arial"/>
          <w:lang w:eastAsia="cs-CZ"/>
        </w:rPr>
        <w:commentReference w:id="10"/>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1"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C33F57" w:rsidRDefault="009F79CE" w:rsidP="009F79CE">
      <w:pPr>
        <w:pStyle w:val="Odstavec1-1a"/>
        <w:numPr>
          <w:ilvl w:val="0"/>
          <w:numId w:val="29"/>
        </w:numPr>
        <w:tabs>
          <w:tab w:val="clear" w:pos="1077"/>
        </w:tabs>
        <w:ind w:left="426" w:hanging="426"/>
      </w:pPr>
      <w:r w:rsidRPr="00C33F57">
        <w:t xml:space="preserve">Technické kvalitativní podmínky staveb státních drah (TKP) </w:t>
      </w:r>
    </w:p>
    <w:p w14:paraId="64C4548A" w14:textId="77777777" w:rsidR="009F79CE" w:rsidRPr="00C33F57" w:rsidRDefault="009F79CE" w:rsidP="009F79CE">
      <w:pPr>
        <w:pStyle w:val="Textbezslovn"/>
        <w:ind w:left="426"/>
      </w:pPr>
      <w:r w:rsidRPr="00C33F57">
        <w:t xml:space="preserve">Technické kvalitativní podmínky staveb státních drah (TKP) nejsou pevně připojeny ke Smlouvě, ale jsou přístupné na </w:t>
      </w:r>
      <w:hyperlink r:id="rId24" w:history="1">
        <w:r w:rsidRPr="00C33F57">
          <w:rPr>
            <w:rStyle w:val="Hypertextovodkaz"/>
            <w:noProof w:val="0"/>
          </w:rPr>
          <w:t>http://typdok.tudc.cz</w:t>
        </w:r>
      </w:hyperlink>
      <w:r w:rsidRPr="00C33F57">
        <w:t>; byly taktéž poskytnuty jako součást zadávací dokumentace uveřejněné na profilu zadavatele.</w:t>
      </w:r>
    </w:p>
    <w:p w14:paraId="5AEC17E2" w14:textId="77777777" w:rsidR="009F79CE" w:rsidRPr="00C33F57" w:rsidRDefault="009F79CE" w:rsidP="009F79CE">
      <w:pPr>
        <w:pStyle w:val="Textbezslovn"/>
        <w:ind w:left="426"/>
      </w:pPr>
      <w:r w:rsidRPr="00C33F57">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C33F57" w:rsidRDefault="009F79CE" w:rsidP="009F79CE">
      <w:pPr>
        <w:pStyle w:val="Odstavec1-1a"/>
        <w:numPr>
          <w:ilvl w:val="0"/>
          <w:numId w:val="29"/>
        </w:numPr>
        <w:tabs>
          <w:tab w:val="clear" w:pos="1077"/>
        </w:tabs>
        <w:ind w:left="426" w:hanging="426"/>
      </w:pPr>
      <w:r w:rsidRPr="00C33F57">
        <w:t xml:space="preserve">Všeobecné technické podmínky </w:t>
      </w:r>
    </w:p>
    <w:p w14:paraId="47838CFE" w14:textId="77777777" w:rsidR="009F79CE" w:rsidRPr="00C33F57" w:rsidRDefault="009F79CE" w:rsidP="009F79CE">
      <w:pPr>
        <w:pStyle w:val="Textbezodsazen"/>
        <w:ind w:left="426"/>
        <w:jc w:val="left"/>
        <w:rPr>
          <w:bCs/>
        </w:rPr>
      </w:pPr>
      <w:r w:rsidRPr="00C33F57">
        <w:t>Všeobecné technické podmínky</w:t>
      </w:r>
      <w:r w:rsidRPr="00C33F57">
        <w:rPr>
          <w:bCs/>
        </w:rPr>
        <w:t xml:space="preserve"> nejsou pevně připojeny ke Smlouvě, zhotovitel obdržel </w:t>
      </w:r>
      <w:r w:rsidRPr="00C33F57">
        <w:t>Všeobecné technické podmínky</w:t>
      </w:r>
      <w:r w:rsidRPr="00C33F57">
        <w:rPr>
          <w:bCs/>
        </w:rPr>
        <w:t xml:space="preserve"> společně se zadávací dokumentací prostřednictvím profilu zadavatele </w:t>
      </w:r>
      <w:hyperlink r:id="rId25" w:history="1">
        <w:r w:rsidRPr="00C33F57">
          <w:rPr>
            <w:rStyle w:val="Hypertextovodkaz"/>
            <w:bCs/>
            <w:noProof w:val="0"/>
          </w:rPr>
          <w:t>https://zakazky.spravazeleznic.cz/</w:t>
        </w:r>
      </w:hyperlink>
      <w:r w:rsidRPr="00C33F57">
        <w:rPr>
          <w:bCs/>
        </w:rPr>
        <w:t>.</w:t>
      </w:r>
    </w:p>
    <w:p w14:paraId="1CC4CFB5" w14:textId="77777777" w:rsidR="009F79CE" w:rsidRPr="00C33F57" w:rsidRDefault="009F79CE" w:rsidP="009F79CE">
      <w:pPr>
        <w:pStyle w:val="Textbezodsazen"/>
        <w:ind w:left="426"/>
      </w:pPr>
      <w:r w:rsidRPr="00C33F57">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C33F57" w:rsidRDefault="009F79CE" w:rsidP="009F79CE">
      <w:pPr>
        <w:pStyle w:val="Odstavec1-1a"/>
        <w:numPr>
          <w:ilvl w:val="0"/>
          <w:numId w:val="29"/>
        </w:numPr>
        <w:tabs>
          <w:tab w:val="clear" w:pos="1077"/>
        </w:tabs>
        <w:ind w:left="426" w:hanging="426"/>
        <w:contextualSpacing w:val="0"/>
      </w:pPr>
      <w:r w:rsidRPr="00C33F57">
        <w:t>Zvláštní technické podmínky</w:t>
      </w:r>
    </w:p>
    <w:p w14:paraId="366F74A6" w14:textId="77777777" w:rsidR="009F79CE" w:rsidRPr="00C33F57" w:rsidRDefault="009F79CE" w:rsidP="009F79CE">
      <w:pPr>
        <w:pStyle w:val="Odstavec1-1a"/>
        <w:numPr>
          <w:ilvl w:val="0"/>
          <w:numId w:val="0"/>
        </w:numPr>
        <w:ind w:left="426"/>
        <w:contextualSpacing w:val="0"/>
        <w:jc w:val="left"/>
        <w:rPr>
          <w:bCs/>
        </w:rPr>
      </w:pPr>
      <w:r w:rsidRPr="00C33F57">
        <w:t>Zvláštní technické podmínky nejsou</w:t>
      </w:r>
      <w:r w:rsidRPr="00C33F57">
        <w:rPr>
          <w:bCs/>
        </w:rPr>
        <w:t xml:space="preserve"> pevně připojeny ke Smlouvě, zhotovitel </w:t>
      </w:r>
      <w:r w:rsidRPr="00C33F57">
        <w:t xml:space="preserve">Zvláštní technické podmínky </w:t>
      </w:r>
      <w:r w:rsidRPr="00C33F57">
        <w:rPr>
          <w:bCs/>
        </w:rPr>
        <w:t xml:space="preserve">obdržel společně se zadávací dokumentací prostřednictvím profilu zadavatele </w:t>
      </w:r>
      <w:hyperlink r:id="rId26" w:history="1">
        <w:r w:rsidRPr="00C33F57">
          <w:rPr>
            <w:rStyle w:val="Hypertextovodkaz"/>
            <w:bCs/>
            <w:noProof w:val="0"/>
          </w:rPr>
          <w:t>https://zakazky.spravazeleznic.cz/</w:t>
        </w:r>
      </w:hyperlink>
      <w:r w:rsidRPr="00C33F57">
        <w:rPr>
          <w:bCs/>
        </w:rPr>
        <w:t>.</w:t>
      </w:r>
    </w:p>
    <w:p w14:paraId="6CDADC1E" w14:textId="77777777" w:rsidR="009F79CE" w:rsidRPr="00935FE2" w:rsidRDefault="009F79CE" w:rsidP="009F79CE">
      <w:pPr>
        <w:pStyle w:val="Odstavec1-1a"/>
        <w:numPr>
          <w:ilvl w:val="0"/>
          <w:numId w:val="0"/>
        </w:numPr>
        <w:ind w:left="426"/>
        <w:contextualSpacing w:val="0"/>
      </w:pPr>
      <w:r w:rsidRPr="00C33F57">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153CEB97" w:rsidR="00E463D2" w:rsidRPr="00F97DBD" w:rsidRDefault="009F79CE" w:rsidP="00E463D2">
      <w:pPr>
        <w:pStyle w:val="Nadpisbezsl1-2"/>
      </w:pPr>
      <w:r>
        <w:t>NEOBSAZENO</w:t>
      </w:r>
    </w:p>
    <w:p w14:paraId="628847BB" w14:textId="77777777" w:rsidR="00C33F57" w:rsidRDefault="00C33F57">
      <w:pPr>
        <w:rPr>
          <w:rFonts w:asciiTheme="majorHAnsi" w:hAnsiTheme="majorHAnsi"/>
          <w:b/>
          <w:caps/>
          <w:sz w:val="22"/>
        </w:rPr>
      </w:pPr>
      <w:r>
        <w:br w:type="page"/>
      </w:r>
    </w:p>
    <w:p w14:paraId="36BBB833" w14:textId="0339FC14"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296FF296" w14:textId="77777777" w:rsidR="00C33F57" w:rsidRDefault="00C33F57" w:rsidP="00502690">
      <w:pPr>
        <w:pStyle w:val="Textbezodsazen"/>
        <w:rPr>
          <w:b/>
        </w:rPr>
      </w:pPr>
    </w:p>
    <w:p w14:paraId="61F0E61B" w14:textId="67A7BFA4"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2836ED85"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C33F57" w:rsidRPr="00F95FBD" w14:paraId="23892999" w14:textId="77777777" w:rsidTr="000A32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B1EDDD" w14:textId="77777777" w:rsidR="00C33F57" w:rsidRPr="00F95FBD" w:rsidRDefault="00C33F57" w:rsidP="000A3214">
            <w:pPr>
              <w:pStyle w:val="Tabulka"/>
              <w:rPr>
                <w:rStyle w:val="Nadpisvtabulce"/>
                <w:b w:val="0"/>
              </w:rPr>
            </w:pPr>
            <w:r w:rsidRPr="00F95FBD">
              <w:rPr>
                <w:rStyle w:val="Nadpisvtabulce"/>
                <w:b w:val="0"/>
              </w:rPr>
              <w:t>Jméno a příjmení</w:t>
            </w:r>
          </w:p>
        </w:tc>
        <w:tc>
          <w:tcPr>
            <w:tcW w:w="5812" w:type="dxa"/>
          </w:tcPr>
          <w:p w14:paraId="7AFEFEFD" w14:textId="77777777" w:rsidR="00C33F57" w:rsidRPr="00F95FBD" w:rsidRDefault="00C33F57" w:rsidP="000A321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C33F57" w:rsidRPr="00F95FBD" w14:paraId="1A699287" w14:textId="77777777" w:rsidTr="000A3214">
        <w:tc>
          <w:tcPr>
            <w:cnfStyle w:val="001000000000" w:firstRow="0" w:lastRow="0" w:firstColumn="1" w:lastColumn="0" w:oddVBand="0" w:evenVBand="0" w:oddHBand="0" w:evenHBand="0" w:firstRowFirstColumn="0" w:firstRowLastColumn="0" w:lastRowFirstColumn="0" w:lastRowLastColumn="0"/>
            <w:tcW w:w="3056" w:type="dxa"/>
          </w:tcPr>
          <w:p w14:paraId="600D8575" w14:textId="77777777" w:rsidR="00C33F57" w:rsidRPr="00F95FBD" w:rsidRDefault="00C33F57" w:rsidP="000A3214">
            <w:pPr>
              <w:pStyle w:val="Tabulka"/>
              <w:rPr>
                <w:sz w:val="18"/>
              </w:rPr>
            </w:pPr>
            <w:r w:rsidRPr="00F95FBD">
              <w:rPr>
                <w:sz w:val="18"/>
              </w:rPr>
              <w:t>Adresa</w:t>
            </w:r>
          </w:p>
        </w:tc>
        <w:tc>
          <w:tcPr>
            <w:tcW w:w="5812" w:type="dxa"/>
          </w:tcPr>
          <w:p w14:paraId="01C5C029" w14:textId="77777777" w:rsidR="00C33F57" w:rsidRPr="00F95FBD" w:rsidRDefault="00C33F57" w:rsidP="000A321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C33F57" w:rsidRPr="00F95FBD" w14:paraId="65C675EF" w14:textId="77777777" w:rsidTr="000A3214">
        <w:tc>
          <w:tcPr>
            <w:cnfStyle w:val="001000000000" w:firstRow="0" w:lastRow="0" w:firstColumn="1" w:lastColumn="0" w:oddVBand="0" w:evenVBand="0" w:oddHBand="0" w:evenHBand="0" w:firstRowFirstColumn="0" w:firstRowLastColumn="0" w:lastRowFirstColumn="0" w:lastRowLastColumn="0"/>
            <w:tcW w:w="3056" w:type="dxa"/>
          </w:tcPr>
          <w:p w14:paraId="5F271046" w14:textId="77777777" w:rsidR="00C33F57" w:rsidRPr="00F95FBD" w:rsidRDefault="00C33F57" w:rsidP="000A3214">
            <w:pPr>
              <w:pStyle w:val="Tabulka"/>
              <w:rPr>
                <w:sz w:val="18"/>
              </w:rPr>
            </w:pPr>
            <w:r w:rsidRPr="00F95FBD">
              <w:rPr>
                <w:sz w:val="18"/>
              </w:rPr>
              <w:t>E-mail</w:t>
            </w:r>
          </w:p>
        </w:tc>
        <w:tc>
          <w:tcPr>
            <w:tcW w:w="5812" w:type="dxa"/>
          </w:tcPr>
          <w:p w14:paraId="78A825FE" w14:textId="77777777" w:rsidR="00C33F57" w:rsidRPr="00F95FBD" w:rsidRDefault="00C33F57" w:rsidP="000A321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C33F57" w:rsidRPr="00F95FBD" w14:paraId="4A213DA6" w14:textId="77777777" w:rsidTr="000A3214">
        <w:tc>
          <w:tcPr>
            <w:cnfStyle w:val="001000000000" w:firstRow="0" w:lastRow="0" w:firstColumn="1" w:lastColumn="0" w:oddVBand="0" w:evenVBand="0" w:oddHBand="0" w:evenHBand="0" w:firstRowFirstColumn="0" w:firstRowLastColumn="0" w:lastRowFirstColumn="0" w:lastRowLastColumn="0"/>
            <w:tcW w:w="3056" w:type="dxa"/>
          </w:tcPr>
          <w:p w14:paraId="09A74AFD" w14:textId="77777777" w:rsidR="00C33F57" w:rsidRPr="00F95FBD" w:rsidRDefault="00C33F57" w:rsidP="000A3214">
            <w:pPr>
              <w:pStyle w:val="Tabulka"/>
              <w:rPr>
                <w:sz w:val="18"/>
              </w:rPr>
            </w:pPr>
            <w:r w:rsidRPr="00F95FBD">
              <w:rPr>
                <w:sz w:val="18"/>
              </w:rPr>
              <w:t>Telefon</w:t>
            </w:r>
          </w:p>
        </w:tc>
        <w:tc>
          <w:tcPr>
            <w:tcW w:w="5812" w:type="dxa"/>
          </w:tcPr>
          <w:p w14:paraId="71F4745E" w14:textId="77777777" w:rsidR="00C33F57" w:rsidRPr="00F95FBD" w:rsidRDefault="00C33F57" w:rsidP="000A321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42D038" w14:textId="77777777" w:rsidR="00C33F57" w:rsidRPr="00F95FBD" w:rsidRDefault="00C33F57"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C33F57">
              <w:rPr>
                <w:sz w:val="18"/>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67293903" w:rsidR="002C7A28" w:rsidRPr="002C7A28" w:rsidRDefault="002A784C" w:rsidP="00C33F57">
            <w:pPr>
              <w:pStyle w:val="Tabulka"/>
              <w:cnfStyle w:val="000000000000" w:firstRow="0" w:lastRow="0" w:firstColumn="0" w:lastColumn="0" w:oddVBand="0" w:evenVBand="0" w:oddHBand="0" w:evenHBand="0" w:firstRowFirstColumn="0" w:firstRowLastColumn="0" w:lastRowFirstColumn="0" w:lastRowLastColumn="0"/>
              <w:rPr>
                <w:sz w:val="18"/>
              </w:rPr>
            </w:pPr>
            <w:r w:rsidRPr="00C33F57">
              <w:rPr>
                <w:rFonts w:eastAsia="Times New Roman" w:cs="Calibri"/>
                <w:sz w:val="18"/>
                <w:lang w:eastAsia="cs-CZ"/>
              </w:rPr>
              <w:t>M</w:t>
            </w:r>
            <w:r w:rsidR="002C7A28" w:rsidRPr="00C33F57">
              <w:rPr>
                <w:rFonts w:eastAsia="Times New Roman" w:cs="Calibri"/>
                <w:sz w:val="18"/>
                <w:lang w:eastAsia="cs-CZ"/>
              </w:rPr>
              <w:t xml:space="preserve">inimálně </w:t>
            </w:r>
            <w:r w:rsidR="00C33F57" w:rsidRPr="00C33F57">
              <w:rPr>
                <w:rFonts w:eastAsia="Times New Roman" w:cs="Calibri"/>
                <w:color w:val="000000"/>
                <w:sz w:val="18"/>
                <w:lang w:eastAsia="cs-CZ"/>
              </w:rPr>
              <w:t>10</w:t>
            </w:r>
            <w:r w:rsidR="002C7A28" w:rsidRPr="00C33F57">
              <w:rPr>
                <w:rFonts w:eastAsia="Times New Roman" w:cs="Calibri"/>
                <w:color w:val="000000"/>
                <w:sz w:val="18"/>
                <w:lang w:eastAsia="cs-CZ"/>
              </w:rPr>
              <w:t xml:space="preserve"> mil. Kč</w:t>
            </w:r>
            <w:r w:rsidR="002C7A28" w:rsidRPr="00C33F57">
              <w:rPr>
                <w:rFonts w:eastAsia="Times New Roman" w:cs="Calibri"/>
                <w:sz w:val="18"/>
                <w:lang w:eastAsia="cs-CZ"/>
              </w:rPr>
              <w:t xml:space="preserve"> na jednu pojistnou událost a </w:t>
            </w:r>
            <w:r w:rsidR="00C33F57" w:rsidRPr="00C33F57">
              <w:rPr>
                <w:rFonts w:eastAsia="Times New Roman" w:cs="Calibri"/>
                <w:sz w:val="18"/>
                <w:lang w:eastAsia="cs-CZ"/>
              </w:rPr>
              <w:t>30</w:t>
            </w:r>
            <w:r w:rsidR="002C7A28" w:rsidRPr="00C33F57">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Pospíchal Jan, Mgr." w:date="2020-12-17T14:22:00Z" w:initials="PJM">
    <w:p w14:paraId="394DB432" w14:textId="77777777" w:rsidR="00A21434" w:rsidRDefault="00A21434">
      <w:pPr>
        <w:pStyle w:val="Textkomente"/>
      </w:pPr>
      <w:r>
        <w:rPr>
          <w:rStyle w:val="Odkaznakoment"/>
        </w:rPr>
        <w:annotationRef/>
      </w:r>
      <w:r w:rsidRPr="00E70DF3">
        <w:t>Upraví se dle toho, zda bude smlouva uzavírána v elektronické či listinné podobě.</w:t>
      </w:r>
    </w:p>
  </w:comment>
  <w:comment w:id="10" w:author="Pospíchal Jan, Mgr." w:date="2020-12-17T14:23:00Z" w:initials="PJM">
    <w:p w14:paraId="7506C7C4" w14:textId="77777777" w:rsidR="00A21434" w:rsidRDefault="00A21434">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4DB432" w15:done="0"/>
  <w15:commentEx w15:paraId="7506C7C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A21434" w:rsidRDefault="00A21434" w:rsidP="00962258">
      <w:pPr>
        <w:spacing w:after="0" w:line="240" w:lineRule="auto"/>
      </w:pPr>
      <w:r>
        <w:separator/>
      </w:r>
    </w:p>
  </w:endnote>
  <w:endnote w:type="continuationSeparator" w:id="0">
    <w:p w14:paraId="31E7A028" w14:textId="77777777" w:rsidR="00A21434" w:rsidRDefault="00A214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1434" w14:paraId="0CAB6C95" w14:textId="77777777" w:rsidTr="00EB46E5">
      <w:tc>
        <w:tcPr>
          <w:tcW w:w="1361" w:type="dxa"/>
          <w:tcMar>
            <w:left w:w="0" w:type="dxa"/>
            <w:right w:w="0" w:type="dxa"/>
          </w:tcMar>
          <w:vAlign w:val="bottom"/>
        </w:tcPr>
        <w:p w14:paraId="54EA0A3D" w14:textId="3092261F" w:rsidR="00A21434" w:rsidRPr="00B8518B" w:rsidRDefault="00A2143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D13">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D1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A21434" w:rsidRDefault="00A21434" w:rsidP="00B8518B">
          <w:pPr>
            <w:pStyle w:val="Zpat"/>
          </w:pPr>
        </w:p>
      </w:tc>
      <w:tc>
        <w:tcPr>
          <w:tcW w:w="425" w:type="dxa"/>
          <w:shd w:val="clear" w:color="auto" w:fill="auto"/>
          <w:tcMar>
            <w:left w:w="0" w:type="dxa"/>
            <w:right w:w="0" w:type="dxa"/>
          </w:tcMar>
        </w:tcPr>
        <w:p w14:paraId="20A2B485" w14:textId="77777777" w:rsidR="00A21434" w:rsidRDefault="00A21434" w:rsidP="00B8518B">
          <w:pPr>
            <w:pStyle w:val="Zpat"/>
          </w:pPr>
        </w:p>
      </w:tc>
      <w:tc>
        <w:tcPr>
          <w:tcW w:w="8505" w:type="dxa"/>
        </w:tcPr>
        <w:p w14:paraId="1CF41348" w14:textId="77777777" w:rsidR="00A21434" w:rsidRPr="00E7415D" w:rsidRDefault="00A21434" w:rsidP="00F422D3">
          <w:pPr>
            <w:pStyle w:val="Zpat0"/>
            <w:rPr>
              <w:b/>
            </w:rPr>
          </w:pPr>
          <w:r w:rsidRPr="00E7415D">
            <w:rPr>
              <w:b/>
            </w:rPr>
            <w:t>SMLOUVA O DÍLO</w:t>
          </w:r>
        </w:p>
        <w:p w14:paraId="5A947723" w14:textId="77777777" w:rsidR="00A21434" w:rsidRDefault="00A21434" w:rsidP="00F422D3">
          <w:pPr>
            <w:pStyle w:val="Zpat0"/>
          </w:pPr>
          <w:r>
            <w:t>Zhotovení stavby</w:t>
          </w:r>
        </w:p>
      </w:tc>
    </w:tr>
  </w:tbl>
  <w:p w14:paraId="27715511" w14:textId="77777777" w:rsidR="00A21434" w:rsidRPr="00B8518B" w:rsidRDefault="00A2143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1434" w14:paraId="53FF95E2" w14:textId="77777777" w:rsidTr="00EB46E5">
      <w:tc>
        <w:tcPr>
          <w:tcW w:w="1361" w:type="dxa"/>
          <w:tcMar>
            <w:left w:w="0" w:type="dxa"/>
            <w:right w:w="0" w:type="dxa"/>
          </w:tcMar>
          <w:vAlign w:val="bottom"/>
        </w:tcPr>
        <w:p w14:paraId="0A139BA1" w14:textId="6E098059" w:rsidR="00A21434" w:rsidRPr="00B8518B" w:rsidRDefault="00A214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D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D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A21434" w:rsidRDefault="00A21434" w:rsidP="00B8518B">
          <w:pPr>
            <w:pStyle w:val="Zpat"/>
          </w:pPr>
        </w:p>
      </w:tc>
      <w:tc>
        <w:tcPr>
          <w:tcW w:w="425" w:type="dxa"/>
          <w:shd w:val="clear" w:color="auto" w:fill="auto"/>
          <w:tcMar>
            <w:left w:w="0" w:type="dxa"/>
            <w:right w:w="0" w:type="dxa"/>
          </w:tcMar>
        </w:tcPr>
        <w:p w14:paraId="77CF02DB" w14:textId="77777777" w:rsidR="00A21434" w:rsidRDefault="00A21434" w:rsidP="00B8518B">
          <w:pPr>
            <w:pStyle w:val="Zpat"/>
          </w:pPr>
        </w:p>
      </w:tc>
      <w:tc>
        <w:tcPr>
          <w:tcW w:w="8505" w:type="dxa"/>
        </w:tcPr>
        <w:p w14:paraId="5BAD7B33" w14:textId="77777777" w:rsidR="00A21434" w:rsidRPr="00143EC0" w:rsidRDefault="00A21434" w:rsidP="00F422D3">
          <w:pPr>
            <w:pStyle w:val="Zpat0"/>
            <w:rPr>
              <w:b/>
            </w:rPr>
          </w:pPr>
          <w:r>
            <w:rPr>
              <w:b/>
            </w:rPr>
            <w:t>PŘÍLOHA č. 9</w:t>
          </w:r>
        </w:p>
        <w:p w14:paraId="295C463F" w14:textId="77777777" w:rsidR="00A21434" w:rsidRDefault="00A21434" w:rsidP="00F95FBD">
          <w:pPr>
            <w:pStyle w:val="Zpat0"/>
          </w:pPr>
          <w:r>
            <w:t>SMLOUVA O DÍLO - Zhotovení stavby</w:t>
          </w:r>
        </w:p>
      </w:tc>
    </w:tr>
  </w:tbl>
  <w:p w14:paraId="0F25E562" w14:textId="77777777" w:rsidR="00A21434" w:rsidRPr="00B8518B" w:rsidRDefault="00A214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A21434" w:rsidRPr="00B8518B" w:rsidRDefault="00A21434" w:rsidP="00460660">
    <w:pPr>
      <w:pStyle w:val="Zpat"/>
      <w:rPr>
        <w:sz w:val="2"/>
        <w:szCs w:val="2"/>
      </w:rPr>
    </w:pPr>
  </w:p>
  <w:p w14:paraId="3069406D" w14:textId="77777777" w:rsidR="00A21434" w:rsidRPr="00460660" w:rsidRDefault="00A2143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1434" w14:paraId="7B9120C0" w14:textId="77777777" w:rsidTr="00EB46E5">
      <w:tc>
        <w:tcPr>
          <w:tcW w:w="1361" w:type="dxa"/>
          <w:tcMar>
            <w:left w:w="0" w:type="dxa"/>
            <w:right w:w="0" w:type="dxa"/>
          </w:tcMar>
          <w:vAlign w:val="bottom"/>
        </w:tcPr>
        <w:p w14:paraId="2D7CF548" w14:textId="5BDB0F2E" w:rsidR="00A21434" w:rsidRPr="00B8518B" w:rsidRDefault="00A214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D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D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A21434" w:rsidRDefault="00A21434" w:rsidP="00B8518B">
          <w:pPr>
            <w:pStyle w:val="Zpat"/>
          </w:pPr>
        </w:p>
      </w:tc>
      <w:tc>
        <w:tcPr>
          <w:tcW w:w="425" w:type="dxa"/>
          <w:shd w:val="clear" w:color="auto" w:fill="auto"/>
          <w:tcMar>
            <w:left w:w="0" w:type="dxa"/>
            <w:right w:w="0" w:type="dxa"/>
          </w:tcMar>
        </w:tcPr>
        <w:p w14:paraId="3477C4A9" w14:textId="77777777" w:rsidR="00A21434" w:rsidRDefault="00A21434" w:rsidP="00B8518B">
          <w:pPr>
            <w:pStyle w:val="Zpat"/>
          </w:pPr>
        </w:p>
      </w:tc>
      <w:tc>
        <w:tcPr>
          <w:tcW w:w="8505" w:type="dxa"/>
        </w:tcPr>
        <w:p w14:paraId="71C04E33" w14:textId="77777777" w:rsidR="00A21434" w:rsidRPr="00143EC0" w:rsidRDefault="00A21434" w:rsidP="00F422D3">
          <w:pPr>
            <w:pStyle w:val="Zpat0"/>
            <w:rPr>
              <w:b/>
            </w:rPr>
          </w:pPr>
          <w:r w:rsidRPr="00143EC0">
            <w:rPr>
              <w:b/>
            </w:rPr>
            <w:t>PŘÍLOHA č. 1</w:t>
          </w:r>
        </w:p>
        <w:p w14:paraId="7984ED50" w14:textId="77777777" w:rsidR="00A21434" w:rsidRDefault="00A21434" w:rsidP="00F95FBD">
          <w:pPr>
            <w:pStyle w:val="Zpat0"/>
          </w:pPr>
          <w:r>
            <w:t>SMLOUVA O DÍLO - Zhotovení stavby</w:t>
          </w:r>
        </w:p>
      </w:tc>
    </w:tr>
  </w:tbl>
  <w:p w14:paraId="09A26E59" w14:textId="77777777" w:rsidR="00A21434" w:rsidRPr="00B8518B" w:rsidRDefault="00A2143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1434" w14:paraId="2A854A6E" w14:textId="77777777" w:rsidTr="00EB46E5">
      <w:tc>
        <w:tcPr>
          <w:tcW w:w="1361" w:type="dxa"/>
          <w:tcMar>
            <w:left w:w="0" w:type="dxa"/>
            <w:right w:w="0" w:type="dxa"/>
          </w:tcMar>
          <w:vAlign w:val="bottom"/>
        </w:tcPr>
        <w:p w14:paraId="74C0B8E5" w14:textId="5BF4A3B4" w:rsidR="00A21434" w:rsidRPr="00B8518B" w:rsidRDefault="00A21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D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D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A21434" w:rsidRDefault="00A21434" w:rsidP="005A7872">
          <w:pPr>
            <w:pStyle w:val="Zpat"/>
          </w:pPr>
        </w:p>
      </w:tc>
      <w:tc>
        <w:tcPr>
          <w:tcW w:w="425" w:type="dxa"/>
          <w:shd w:val="clear" w:color="auto" w:fill="auto"/>
          <w:tcMar>
            <w:left w:w="0" w:type="dxa"/>
            <w:right w:w="0" w:type="dxa"/>
          </w:tcMar>
        </w:tcPr>
        <w:p w14:paraId="3CD1158F" w14:textId="77777777" w:rsidR="00A21434" w:rsidRDefault="00A21434" w:rsidP="00B8518B">
          <w:pPr>
            <w:pStyle w:val="Zpat"/>
          </w:pPr>
        </w:p>
      </w:tc>
      <w:tc>
        <w:tcPr>
          <w:tcW w:w="8505" w:type="dxa"/>
        </w:tcPr>
        <w:p w14:paraId="3C34E6C4" w14:textId="77777777" w:rsidR="00A21434" w:rsidRPr="00143EC0" w:rsidRDefault="00A21434" w:rsidP="00F422D3">
          <w:pPr>
            <w:pStyle w:val="Zpat0"/>
            <w:rPr>
              <w:b/>
            </w:rPr>
          </w:pPr>
          <w:r>
            <w:rPr>
              <w:b/>
            </w:rPr>
            <w:t>PŘÍLOHA č. 2</w:t>
          </w:r>
        </w:p>
        <w:p w14:paraId="5485C28C" w14:textId="77777777" w:rsidR="00A21434" w:rsidRDefault="00A21434" w:rsidP="00F95FBD">
          <w:pPr>
            <w:pStyle w:val="Zpat0"/>
          </w:pPr>
          <w:r>
            <w:t>SMLOUVA O DÍLO - Zhotovení stavby</w:t>
          </w:r>
        </w:p>
      </w:tc>
    </w:tr>
  </w:tbl>
  <w:p w14:paraId="56852212" w14:textId="77777777" w:rsidR="00A21434" w:rsidRPr="00B8518B" w:rsidRDefault="00A2143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1434" w14:paraId="12C808A5" w14:textId="77777777" w:rsidTr="00EB46E5">
      <w:tc>
        <w:tcPr>
          <w:tcW w:w="1361" w:type="dxa"/>
          <w:tcMar>
            <w:left w:w="0" w:type="dxa"/>
            <w:right w:w="0" w:type="dxa"/>
          </w:tcMar>
          <w:vAlign w:val="bottom"/>
        </w:tcPr>
        <w:p w14:paraId="60D30B69" w14:textId="364B6E2C" w:rsidR="00A21434" w:rsidRPr="00B8518B" w:rsidRDefault="00A21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D1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D1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A21434" w:rsidRDefault="00A21434" w:rsidP="005A7872">
          <w:pPr>
            <w:pStyle w:val="Zpat"/>
          </w:pPr>
        </w:p>
      </w:tc>
      <w:tc>
        <w:tcPr>
          <w:tcW w:w="425" w:type="dxa"/>
          <w:shd w:val="clear" w:color="auto" w:fill="auto"/>
          <w:tcMar>
            <w:left w:w="0" w:type="dxa"/>
            <w:right w:w="0" w:type="dxa"/>
          </w:tcMar>
        </w:tcPr>
        <w:p w14:paraId="40930A88" w14:textId="77777777" w:rsidR="00A21434" w:rsidRDefault="00A21434" w:rsidP="00B8518B">
          <w:pPr>
            <w:pStyle w:val="Zpat"/>
          </w:pPr>
        </w:p>
      </w:tc>
      <w:tc>
        <w:tcPr>
          <w:tcW w:w="8505" w:type="dxa"/>
        </w:tcPr>
        <w:p w14:paraId="6407E543" w14:textId="77777777" w:rsidR="00A21434" w:rsidRPr="00143EC0" w:rsidRDefault="00A21434" w:rsidP="00F422D3">
          <w:pPr>
            <w:pStyle w:val="Zpat0"/>
            <w:rPr>
              <w:b/>
            </w:rPr>
          </w:pPr>
          <w:r>
            <w:rPr>
              <w:b/>
            </w:rPr>
            <w:t>PŘÍLOHA č. 4</w:t>
          </w:r>
        </w:p>
        <w:p w14:paraId="1DF31DB9" w14:textId="77777777" w:rsidR="00A21434" w:rsidRDefault="00A21434" w:rsidP="00F95FBD">
          <w:pPr>
            <w:pStyle w:val="Zpat0"/>
          </w:pPr>
          <w:r>
            <w:t>SMLOUVA O DÍLO - Zhotovení stavby</w:t>
          </w:r>
        </w:p>
      </w:tc>
    </w:tr>
  </w:tbl>
  <w:p w14:paraId="1F004B87" w14:textId="77777777" w:rsidR="00A21434" w:rsidRPr="00B8518B" w:rsidRDefault="00A214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1434" w14:paraId="1204743A" w14:textId="77777777" w:rsidTr="00EB46E5">
      <w:tc>
        <w:tcPr>
          <w:tcW w:w="1361" w:type="dxa"/>
          <w:tcMar>
            <w:left w:w="0" w:type="dxa"/>
            <w:right w:w="0" w:type="dxa"/>
          </w:tcMar>
          <w:vAlign w:val="bottom"/>
        </w:tcPr>
        <w:p w14:paraId="61AE0351" w14:textId="51929EF2" w:rsidR="00A21434" w:rsidRPr="00B8518B" w:rsidRDefault="00A21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D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D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A21434" w:rsidRDefault="00A21434" w:rsidP="005A7872">
          <w:pPr>
            <w:pStyle w:val="Zpat"/>
          </w:pPr>
        </w:p>
      </w:tc>
      <w:tc>
        <w:tcPr>
          <w:tcW w:w="425" w:type="dxa"/>
          <w:shd w:val="clear" w:color="auto" w:fill="auto"/>
          <w:tcMar>
            <w:left w:w="0" w:type="dxa"/>
            <w:right w:w="0" w:type="dxa"/>
          </w:tcMar>
        </w:tcPr>
        <w:p w14:paraId="11E90B59" w14:textId="77777777" w:rsidR="00A21434" w:rsidRDefault="00A21434" w:rsidP="00B8518B">
          <w:pPr>
            <w:pStyle w:val="Zpat"/>
          </w:pPr>
        </w:p>
      </w:tc>
      <w:tc>
        <w:tcPr>
          <w:tcW w:w="8505" w:type="dxa"/>
        </w:tcPr>
        <w:p w14:paraId="34651D7D" w14:textId="77777777" w:rsidR="00A21434" w:rsidRPr="00143EC0" w:rsidRDefault="00A21434" w:rsidP="00F422D3">
          <w:pPr>
            <w:pStyle w:val="Zpat0"/>
            <w:rPr>
              <w:b/>
            </w:rPr>
          </w:pPr>
          <w:r>
            <w:rPr>
              <w:b/>
            </w:rPr>
            <w:t>PŘÍLOHA č. 5</w:t>
          </w:r>
        </w:p>
        <w:p w14:paraId="26291B2E" w14:textId="77777777" w:rsidR="00A21434" w:rsidRDefault="00A21434" w:rsidP="00F95FBD">
          <w:pPr>
            <w:pStyle w:val="Zpat0"/>
          </w:pPr>
          <w:r>
            <w:t>SMLOUVA O DÍLO - Zhotovení stavby</w:t>
          </w:r>
        </w:p>
      </w:tc>
    </w:tr>
  </w:tbl>
  <w:p w14:paraId="4FEB979B" w14:textId="77777777" w:rsidR="00A21434" w:rsidRPr="00B8518B" w:rsidRDefault="00A2143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1434" w14:paraId="38B45A6F" w14:textId="77777777" w:rsidTr="00EB46E5">
      <w:tc>
        <w:tcPr>
          <w:tcW w:w="1361" w:type="dxa"/>
          <w:tcMar>
            <w:left w:w="0" w:type="dxa"/>
            <w:right w:w="0" w:type="dxa"/>
          </w:tcMar>
          <w:vAlign w:val="bottom"/>
        </w:tcPr>
        <w:p w14:paraId="2B4F42D2" w14:textId="1B764976" w:rsidR="00A21434" w:rsidRPr="00B8518B" w:rsidRDefault="00A21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D1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D1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A21434" w:rsidRDefault="00A21434" w:rsidP="005A7872">
          <w:pPr>
            <w:pStyle w:val="Zpat"/>
          </w:pPr>
        </w:p>
      </w:tc>
      <w:tc>
        <w:tcPr>
          <w:tcW w:w="425" w:type="dxa"/>
          <w:shd w:val="clear" w:color="auto" w:fill="auto"/>
          <w:tcMar>
            <w:left w:w="0" w:type="dxa"/>
            <w:right w:w="0" w:type="dxa"/>
          </w:tcMar>
        </w:tcPr>
        <w:p w14:paraId="4F58362A" w14:textId="77777777" w:rsidR="00A21434" w:rsidRDefault="00A21434" w:rsidP="00B8518B">
          <w:pPr>
            <w:pStyle w:val="Zpat"/>
          </w:pPr>
        </w:p>
      </w:tc>
      <w:tc>
        <w:tcPr>
          <w:tcW w:w="8505" w:type="dxa"/>
        </w:tcPr>
        <w:p w14:paraId="0622B6D0" w14:textId="77777777" w:rsidR="00A21434" w:rsidRPr="00143EC0" w:rsidRDefault="00A21434" w:rsidP="00F422D3">
          <w:pPr>
            <w:pStyle w:val="Zpat0"/>
            <w:rPr>
              <w:b/>
            </w:rPr>
          </w:pPr>
          <w:r>
            <w:rPr>
              <w:b/>
            </w:rPr>
            <w:t>PŘÍLOHA č. 6</w:t>
          </w:r>
        </w:p>
        <w:p w14:paraId="7CCBFCF6" w14:textId="77777777" w:rsidR="00A21434" w:rsidRDefault="00A21434" w:rsidP="00F95FBD">
          <w:pPr>
            <w:pStyle w:val="Zpat0"/>
          </w:pPr>
          <w:r>
            <w:t>SMLOUVA O DÍLO - Zhotovení stavby</w:t>
          </w:r>
        </w:p>
      </w:tc>
    </w:tr>
  </w:tbl>
  <w:p w14:paraId="79FE31E8" w14:textId="77777777" w:rsidR="00A21434" w:rsidRPr="00B8518B" w:rsidRDefault="00A214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1434" w14:paraId="325F1CE6" w14:textId="77777777" w:rsidTr="00EB46E5">
      <w:tc>
        <w:tcPr>
          <w:tcW w:w="1361" w:type="dxa"/>
          <w:tcMar>
            <w:left w:w="0" w:type="dxa"/>
            <w:right w:w="0" w:type="dxa"/>
          </w:tcMar>
          <w:vAlign w:val="bottom"/>
        </w:tcPr>
        <w:p w14:paraId="13927C63" w14:textId="2F62C18D" w:rsidR="00A21434" w:rsidRPr="00B8518B" w:rsidRDefault="00A21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D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D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A21434" w:rsidRDefault="00A21434" w:rsidP="005A7872">
          <w:pPr>
            <w:pStyle w:val="Zpat"/>
          </w:pPr>
        </w:p>
      </w:tc>
      <w:tc>
        <w:tcPr>
          <w:tcW w:w="425" w:type="dxa"/>
          <w:shd w:val="clear" w:color="auto" w:fill="auto"/>
          <w:tcMar>
            <w:left w:w="0" w:type="dxa"/>
            <w:right w:w="0" w:type="dxa"/>
          </w:tcMar>
        </w:tcPr>
        <w:p w14:paraId="1314F571" w14:textId="77777777" w:rsidR="00A21434" w:rsidRDefault="00A21434" w:rsidP="00B8518B">
          <w:pPr>
            <w:pStyle w:val="Zpat"/>
          </w:pPr>
        </w:p>
      </w:tc>
      <w:tc>
        <w:tcPr>
          <w:tcW w:w="8505" w:type="dxa"/>
        </w:tcPr>
        <w:p w14:paraId="26189B49" w14:textId="77777777" w:rsidR="00A21434" w:rsidRPr="00143EC0" w:rsidRDefault="00A21434" w:rsidP="00F422D3">
          <w:pPr>
            <w:pStyle w:val="Zpat0"/>
            <w:rPr>
              <w:b/>
            </w:rPr>
          </w:pPr>
          <w:r>
            <w:rPr>
              <w:b/>
            </w:rPr>
            <w:t>PŘÍLOHA č. 7</w:t>
          </w:r>
        </w:p>
        <w:p w14:paraId="190A11F1" w14:textId="77777777" w:rsidR="00A21434" w:rsidRDefault="00A21434" w:rsidP="00F95FBD">
          <w:pPr>
            <w:pStyle w:val="Zpat0"/>
          </w:pPr>
          <w:r>
            <w:t>SMLOUVA O DÍLO - Zhotovení stavby</w:t>
          </w:r>
        </w:p>
      </w:tc>
    </w:tr>
  </w:tbl>
  <w:p w14:paraId="05E46EF0" w14:textId="77777777" w:rsidR="00A21434" w:rsidRPr="00B8518B" w:rsidRDefault="00A2143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1434" w14:paraId="378688D8" w14:textId="77777777" w:rsidTr="00EB46E5">
      <w:tc>
        <w:tcPr>
          <w:tcW w:w="1361" w:type="dxa"/>
          <w:tcMar>
            <w:left w:w="0" w:type="dxa"/>
            <w:right w:w="0" w:type="dxa"/>
          </w:tcMar>
          <w:vAlign w:val="bottom"/>
        </w:tcPr>
        <w:p w14:paraId="619E99F6" w14:textId="10E4B2A7" w:rsidR="00A21434" w:rsidRPr="00B8518B" w:rsidRDefault="00A214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D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D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A21434" w:rsidRDefault="00A21434" w:rsidP="00B8518B">
          <w:pPr>
            <w:pStyle w:val="Zpat"/>
          </w:pPr>
        </w:p>
      </w:tc>
      <w:tc>
        <w:tcPr>
          <w:tcW w:w="425" w:type="dxa"/>
          <w:shd w:val="clear" w:color="auto" w:fill="auto"/>
          <w:tcMar>
            <w:left w:w="0" w:type="dxa"/>
            <w:right w:w="0" w:type="dxa"/>
          </w:tcMar>
        </w:tcPr>
        <w:p w14:paraId="43A37E14" w14:textId="77777777" w:rsidR="00A21434" w:rsidRDefault="00A21434" w:rsidP="00B8518B">
          <w:pPr>
            <w:pStyle w:val="Zpat"/>
          </w:pPr>
        </w:p>
      </w:tc>
      <w:tc>
        <w:tcPr>
          <w:tcW w:w="8505" w:type="dxa"/>
        </w:tcPr>
        <w:p w14:paraId="722893B6" w14:textId="77777777" w:rsidR="00A21434" w:rsidRPr="00143EC0" w:rsidRDefault="00A21434" w:rsidP="00F422D3">
          <w:pPr>
            <w:pStyle w:val="Zpat0"/>
            <w:rPr>
              <w:b/>
            </w:rPr>
          </w:pPr>
          <w:r>
            <w:rPr>
              <w:b/>
            </w:rPr>
            <w:t>PŘÍLOHA č. 8</w:t>
          </w:r>
        </w:p>
        <w:p w14:paraId="19B7B424" w14:textId="77777777" w:rsidR="00A21434" w:rsidRDefault="00A21434" w:rsidP="00F95FBD">
          <w:pPr>
            <w:pStyle w:val="Zpat0"/>
          </w:pPr>
          <w:r>
            <w:t>SMLOUVA O DÍLO - Zhotovení stavby</w:t>
          </w:r>
        </w:p>
      </w:tc>
    </w:tr>
  </w:tbl>
  <w:p w14:paraId="3F3C900C" w14:textId="77777777" w:rsidR="00A21434" w:rsidRPr="00B8518B" w:rsidRDefault="00A214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A21434" w:rsidRDefault="00A21434" w:rsidP="00962258">
      <w:pPr>
        <w:spacing w:after="0" w:line="240" w:lineRule="auto"/>
      </w:pPr>
      <w:r>
        <w:separator/>
      </w:r>
    </w:p>
  </w:footnote>
  <w:footnote w:type="continuationSeparator" w:id="0">
    <w:p w14:paraId="537AECE0" w14:textId="77777777" w:rsidR="00A21434" w:rsidRDefault="00A214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1434" w14:paraId="78DEB576" w14:textId="77777777" w:rsidTr="00C02D0A">
      <w:trPr>
        <w:trHeight w:hRule="exact" w:val="454"/>
      </w:trPr>
      <w:tc>
        <w:tcPr>
          <w:tcW w:w="1361" w:type="dxa"/>
          <w:tcMar>
            <w:top w:w="57" w:type="dxa"/>
            <w:left w:w="0" w:type="dxa"/>
            <w:right w:w="0" w:type="dxa"/>
          </w:tcMar>
        </w:tcPr>
        <w:p w14:paraId="48DE55C6" w14:textId="77777777" w:rsidR="00A21434" w:rsidRPr="00B8518B" w:rsidRDefault="00A21434" w:rsidP="00523EA7">
          <w:pPr>
            <w:pStyle w:val="Zpat"/>
            <w:rPr>
              <w:rStyle w:val="slostrnky"/>
            </w:rPr>
          </w:pPr>
        </w:p>
      </w:tc>
      <w:tc>
        <w:tcPr>
          <w:tcW w:w="3458" w:type="dxa"/>
          <w:shd w:val="clear" w:color="auto" w:fill="auto"/>
          <w:tcMar>
            <w:top w:w="57" w:type="dxa"/>
            <w:left w:w="0" w:type="dxa"/>
            <w:right w:w="0" w:type="dxa"/>
          </w:tcMar>
        </w:tcPr>
        <w:p w14:paraId="148D7AB4" w14:textId="77777777" w:rsidR="00A21434" w:rsidRDefault="00A21434" w:rsidP="00523EA7">
          <w:pPr>
            <w:pStyle w:val="Zpat"/>
          </w:pPr>
        </w:p>
      </w:tc>
      <w:tc>
        <w:tcPr>
          <w:tcW w:w="5698" w:type="dxa"/>
          <w:shd w:val="clear" w:color="auto" w:fill="auto"/>
          <w:tcMar>
            <w:top w:w="57" w:type="dxa"/>
            <w:left w:w="0" w:type="dxa"/>
            <w:right w:w="0" w:type="dxa"/>
          </w:tcMar>
        </w:tcPr>
        <w:p w14:paraId="12A902D7" w14:textId="77777777" w:rsidR="00A21434" w:rsidRPr="00D6163D" w:rsidRDefault="00A21434" w:rsidP="00D6163D">
          <w:pPr>
            <w:pStyle w:val="Druhdokumentu"/>
          </w:pPr>
        </w:p>
      </w:tc>
    </w:tr>
  </w:tbl>
  <w:p w14:paraId="12E47B63" w14:textId="77777777" w:rsidR="00A21434" w:rsidRPr="00D6163D" w:rsidRDefault="00A214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21434" w14:paraId="424A44B4" w14:textId="77777777" w:rsidTr="00B22106">
      <w:trPr>
        <w:trHeight w:hRule="exact" w:val="936"/>
      </w:trPr>
      <w:tc>
        <w:tcPr>
          <w:tcW w:w="1361" w:type="dxa"/>
          <w:tcMar>
            <w:left w:w="0" w:type="dxa"/>
            <w:right w:w="0" w:type="dxa"/>
          </w:tcMar>
        </w:tcPr>
        <w:p w14:paraId="42677119" w14:textId="77777777" w:rsidR="00A21434" w:rsidRPr="00B8518B" w:rsidRDefault="00A21434" w:rsidP="00FC6389">
          <w:pPr>
            <w:pStyle w:val="Zpat"/>
            <w:rPr>
              <w:rStyle w:val="slostrnky"/>
            </w:rPr>
          </w:pPr>
        </w:p>
      </w:tc>
      <w:tc>
        <w:tcPr>
          <w:tcW w:w="3458" w:type="dxa"/>
          <w:shd w:val="clear" w:color="auto" w:fill="auto"/>
          <w:tcMar>
            <w:left w:w="0" w:type="dxa"/>
            <w:right w:w="0" w:type="dxa"/>
          </w:tcMar>
        </w:tcPr>
        <w:p w14:paraId="156AA4E0" w14:textId="77777777" w:rsidR="00A21434" w:rsidRDefault="00A21434" w:rsidP="00FC6389">
          <w:pPr>
            <w:pStyle w:val="Zpat"/>
          </w:pPr>
        </w:p>
      </w:tc>
      <w:tc>
        <w:tcPr>
          <w:tcW w:w="5756" w:type="dxa"/>
          <w:shd w:val="clear" w:color="auto" w:fill="auto"/>
          <w:tcMar>
            <w:left w:w="0" w:type="dxa"/>
            <w:right w:w="0" w:type="dxa"/>
          </w:tcMar>
        </w:tcPr>
        <w:p w14:paraId="3743E238" w14:textId="77777777" w:rsidR="00A21434" w:rsidRPr="00D6163D" w:rsidRDefault="00A21434" w:rsidP="00FC6389">
          <w:pPr>
            <w:pStyle w:val="Druhdokumentu"/>
          </w:pPr>
        </w:p>
      </w:tc>
    </w:tr>
    <w:tr w:rsidR="00A21434" w14:paraId="72867A21" w14:textId="77777777" w:rsidTr="00B22106">
      <w:trPr>
        <w:trHeight w:hRule="exact" w:val="936"/>
      </w:trPr>
      <w:tc>
        <w:tcPr>
          <w:tcW w:w="1361" w:type="dxa"/>
          <w:tcMar>
            <w:left w:w="0" w:type="dxa"/>
            <w:right w:w="0" w:type="dxa"/>
          </w:tcMar>
        </w:tcPr>
        <w:p w14:paraId="363A765F" w14:textId="77777777" w:rsidR="00A21434" w:rsidRPr="00B8518B" w:rsidRDefault="00A21434" w:rsidP="00FC6389">
          <w:pPr>
            <w:pStyle w:val="Zpat"/>
            <w:rPr>
              <w:rStyle w:val="slostrnky"/>
            </w:rPr>
          </w:pPr>
        </w:p>
      </w:tc>
      <w:tc>
        <w:tcPr>
          <w:tcW w:w="3458" w:type="dxa"/>
          <w:shd w:val="clear" w:color="auto" w:fill="auto"/>
          <w:tcMar>
            <w:left w:w="0" w:type="dxa"/>
            <w:right w:w="0" w:type="dxa"/>
          </w:tcMar>
        </w:tcPr>
        <w:p w14:paraId="7BDBF133" w14:textId="77777777" w:rsidR="00A21434" w:rsidRDefault="00A21434" w:rsidP="00FC6389">
          <w:pPr>
            <w:pStyle w:val="Zpat"/>
          </w:pPr>
        </w:p>
      </w:tc>
      <w:tc>
        <w:tcPr>
          <w:tcW w:w="5756" w:type="dxa"/>
          <w:shd w:val="clear" w:color="auto" w:fill="auto"/>
          <w:tcMar>
            <w:left w:w="0" w:type="dxa"/>
            <w:right w:w="0" w:type="dxa"/>
          </w:tcMar>
        </w:tcPr>
        <w:p w14:paraId="3FC137CD" w14:textId="77777777" w:rsidR="00A21434" w:rsidRPr="00D6163D" w:rsidRDefault="00A21434" w:rsidP="00FC6389">
          <w:pPr>
            <w:pStyle w:val="Druhdokumentu"/>
          </w:pPr>
        </w:p>
      </w:tc>
    </w:tr>
  </w:tbl>
  <w:p w14:paraId="2C0828D8" w14:textId="77777777" w:rsidR="00A21434" w:rsidRPr="00D6163D" w:rsidRDefault="00A21434"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A21434" w:rsidRPr="00460660" w:rsidRDefault="00A2143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1434" w14:paraId="22D6FAAD" w14:textId="77777777" w:rsidTr="00C02D0A">
      <w:trPr>
        <w:trHeight w:hRule="exact" w:val="454"/>
      </w:trPr>
      <w:tc>
        <w:tcPr>
          <w:tcW w:w="1361" w:type="dxa"/>
          <w:tcMar>
            <w:top w:w="57" w:type="dxa"/>
            <w:left w:w="0" w:type="dxa"/>
            <w:right w:w="0" w:type="dxa"/>
          </w:tcMar>
        </w:tcPr>
        <w:p w14:paraId="3DB50E78" w14:textId="77777777" w:rsidR="00A21434" w:rsidRPr="00B8518B" w:rsidRDefault="00A21434" w:rsidP="00523EA7">
          <w:pPr>
            <w:pStyle w:val="Zpat"/>
            <w:rPr>
              <w:rStyle w:val="slostrnky"/>
            </w:rPr>
          </w:pPr>
        </w:p>
      </w:tc>
      <w:tc>
        <w:tcPr>
          <w:tcW w:w="3458" w:type="dxa"/>
          <w:shd w:val="clear" w:color="auto" w:fill="auto"/>
          <w:tcMar>
            <w:top w:w="57" w:type="dxa"/>
            <w:left w:w="0" w:type="dxa"/>
            <w:right w:w="0" w:type="dxa"/>
          </w:tcMar>
        </w:tcPr>
        <w:p w14:paraId="65F8D7CD" w14:textId="77777777" w:rsidR="00A21434" w:rsidRDefault="00A21434" w:rsidP="00523EA7">
          <w:pPr>
            <w:pStyle w:val="Zpat"/>
          </w:pPr>
        </w:p>
      </w:tc>
      <w:tc>
        <w:tcPr>
          <w:tcW w:w="5698" w:type="dxa"/>
          <w:shd w:val="clear" w:color="auto" w:fill="auto"/>
          <w:tcMar>
            <w:top w:w="57" w:type="dxa"/>
            <w:left w:w="0" w:type="dxa"/>
            <w:right w:w="0" w:type="dxa"/>
          </w:tcMar>
        </w:tcPr>
        <w:p w14:paraId="167BB4E2" w14:textId="77777777" w:rsidR="00A21434" w:rsidRPr="00D6163D" w:rsidRDefault="00A21434" w:rsidP="00D6163D">
          <w:pPr>
            <w:pStyle w:val="Druhdokumentu"/>
          </w:pPr>
        </w:p>
      </w:tc>
    </w:tr>
  </w:tbl>
  <w:p w14:paraId="2C5B77A5" w14:textId="77777777" w:rsidR="00A21434" w:rsidRPr="00D6163D" w:rsidRDefault="00A214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1434" w14:paraId="7EC9A4C8" w14:textId="77777777" w:rsidTr="00C02D0A">
      <w:trPr>
        <w:trHeight w:hRule="exact" w:val="454"/>
      </w:trPr>
      <w:tc>
        <w:tcPr>
          <w:tcW w:w="1361" w:type="dxa"/>
          <w:tcMar>
            <w:top w:w="57" w:type="dxa"/>
            <w:left w:w="0" w:type="dxa"/>
            <w:right w:w="0" w:type="dxa"/>
          </w:tcMar>
        </w:tcPr>
        <w:p w14:paraId="5F78F113" w14:textId="77777777" w:rsidR="00A21434" w:rsidRPr="00B8518B" w:rsidRDefault="00A21434" w:rsidP="00523EA7">
          <w:pPr>
            <w:pStyle w:val="Zpat"/>
            <w:rPr>
              <w:rStyle w:val="slostrnky"/>
            </w:rPr>
          </w:pPr>
        </w:p>
      </w:tc>
      <w:tc>
        <w:tcPr>
          <w:tcW w:w="3458" w:type="dxa"/>
          <w:shd w:val="clear" w:color="auto" w:fill="auto"/>
          <w:tcMar>
            <w:top w:w="57" w:type="dxa"/>
            <w:left w:w="0" w:type="dxa"/>
            <w:right w:w="0" w:type="dxa"/>
          </w:tcMar>
        </w:tcPr>
        <w:p w14:paraId="3DC559F7" w14:textId="77777777" w:rsidR="00A21434" w:rsidRDefault="00A21434" w:rsidP="00523EA7">
          <w:pPr>
            <w:pStyle w:val="Zpat"/>
          </w:pPr>
        </w:p>
      </w:tc>
      <w:tc>
        <w:tcPr>
          <w:tcW w:w="5698" w:type="dxa"/>
          <w:shd w:val="clear" w:color="auto" w:fill="auto"/>
          <w:tcMar>
            <w:top w:w="57" w:type="dxa"/>
            <w:left w:w="0" w:type="dxa"/>
            <w:right w:w="0" w:type="dxa"/>
          </w:tcMar>
        </w:tcPr>
        <w:p w14:paraId="5719406E" w14:textId="77777777" w:rsidR="00A21434" w:rsidRPr="00D6163D" w:rsidRDefault="00A21434" w:rsidP="00D6163D">
          <w:pPr>
            <w:pStyle w:val="Druhdokumentu"/>
          </w:pPr>
        </w:p>
      </w:tc>
    </w:tr>
  </w:tbl>
  <w:p w14:paraId="18C39148" w14:textId="77777777" w:rsidR="00A21434" w:rsidRPr="00D6163D" w:rsidRDefault="00A214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1434" w14:paraId="6887C690" w14:textId="77777777" w:rsidTr="00C02D0A">
      <w:trPr>
        <w:trHeight w:hRule="exact" w:val="454"/>
      </w:trPr>
      <w:tc>
        <w:tcPr>
          <w:tcW w:w="1361" w:type="dxa"/>
          <w:tcMar>
            <w:top w:w="57" w:type="dxa"/>
            <w:left w:w="0" w:type="dxa"/>
            <w:right w:w="0" w:type="dxa"/>
          </w:tcMar>
        </w:tcPr>
        <w:p w14:paraId="0B13BD48" w14:textId="77777777" w:rsidR="00A21434" w:rsidRPr="00B8518B" w:rsidRDefault="00A21434" w:rsidP="00523EA7">
          <w:pPr>
            <w:pStyle w:val="Zpat"/>
            <w:rPr>
              <w:rStyle w:val="slostrnky"/>
            </w:rPr>
          </w:pPr>
        </w:p>
      </w:tc>
      <w:tc>
        <w:tcPr>
          <w:tcW w:w="3458" w:type="dxa"/>
          <w:shd w:val="clear" w:color="auto" w:fill="auto"/>
          <w:tcMar>
            <w:top w:w="57" w:type="dxa"/>
            <w:left w:w="0" w:type="dxa"/>
            <w:right w:w="0" w:type="dxa"/>
          </w:tcMar>
        </w:tcPr>
        <w:p w14:paraId="0F511F71" w14:textId="77777777" w:rsidR="00A21434" w:rsidRDefault="00A21434" w:rsidP="00523EA7">
          <w:pPr>
            <w:pStyle w:val="Zpat"/>
          </w:pPr>
        </w:p>
      </w:tc>
      <w:tc>
        <w:tcPr>
          <w:tcW w:w="5698" w:type="dxa"/>
          <w:shd w:val="clear" w:color="auto" w:fill="auto"/>
          <w:tcMar>
            <w:top w:w="57" w:type="dxa"/>
            <w:left w:w="0" w:type="dxa"/>
            <w:right w:w="0" w:type="dxa"/>
          </w:tcMar>
        </w:tcPr>
        <w:p w14:paraId="362FF2F1" w14:textId="77777777" w:rsidR="00A21434" w:rsidRPr="00D6163D" w:rsidRDefault="00A21434" w:rsidP="00D6163D">
          <w:pPr>
            <w:pStyle w:val="Druhdokumentu"/>
          </w:pPr>
        </w:p>
      </w:tc>
    </w:tr>
  </w:tbl>
  <w:p w14:paraId="3BD9794D" w14:textId="77777777" w:rsidR="00A21434" w:rsidRPr="00D6163D" w:rsidRDefault="00A214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1434" w14:paraId="143C8B64" w14:textId="77777777" w:rsidTr="00C02D0A">
      <w:trPr>
        <w:trHeight w:hRule="exact" w:val="454"/>
      </w:trPr>
      <w:tc>
        <w:tcPr>
          <w:tcW w:w="1361" w:type="dxa"/>
          <w:tcMar>
            <w:top w:w="57" w:type="dxa"/>
            <w:left w:w="0" w:type="dxa"/>
            <w:right w:w="0" w:type="dxa"/>
          </w:tcMar>
        </w:tcPr>
        <w:p w14:paraId="6B09FBA0" w14:textId="77777777" w:rsidR="00A21434" w:rsidRPr="00B8518B" w:rsidRDefault="00A21434" w:rsidP="00523EA7">
          <w:pPr>
            <w:pStyle w:val="Zpat"/>
            <w:rPr>
              <w:rStyle w:val="slostrnky"/>
            </w:rPr>
          </w:pPr>
        </w:p>
      </w:tc>
      <w:tc>
        <w:tcPr>
          <w:tcW w:w="3458" w:type="dxa"/>
          <w:shd w:val="clear" w:color="auto" w:fill="auto"/>
          <w:tcMar>
            <w:top w:w="57" w:type="dxa"/>
            <w:left w:w="0" w:type="dxa"/>
            <w:right w:w="0" w:type="dxa"/>
          </w:tcMar>
        </w:tcPr>
        <w:p w14:paraId="79071924" w14:textId="77777777" w:rsidR="00A21434" w:rsidRDefault="00A21434" w:rsidP="00523EA7">
          <w:pPr>
            <w:pStyle w:val="Zpat"/>
          </w:pPr>
        </w:p>
      </w:tc>
      <w:tc>
        <w:tcPr>
          <w:tcW w:w="5698" w:type="dxa"/>
          <w:shd w:val="clear" w:color="auto" w:fill="auto"/>
          <w:tcMar>
            <w:top w:w="57" w:type="dxa"/>
            <w:left w:w="0" w:type="dxa"/>
            <w:right w:w="0" w:type="dxa"/>
          </w:tcMar>
        </w:tcPr>
        <w:p w14:paraId="205C6933" w14:textId="77777777" w:rsidR="00A21434" w:rsidRPr="00D6163D" w:rsidRDefault="00A21434" w:rsidP="00D6163D">
          <w:pPr>
            <w:pStyle w:val="Druhdokumentu"/>
          </w:pPr>
        </w:p>
      </w:tc>
    </w:tr>
  </w:tbl>
  <w:p w14:paraId="71BC4834" w14:textId="77777777" w:rsidR="00A21434" w:rsidRPr="00D6163D" w:rsidRDefault="00A214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434"/>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143FB"/>
    <w:rsid w:val="00C226C0"/>
    <w:rsid w:val="00C26A57"/>
    <w:rsid w:val="00C33F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1D13"/>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E3D2A79-4971-4EF5-9F60-32C6564E2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423</TotalTime>
  <Pages>20</Pages>
  <Words>5107</Words>
  <Characters>30134</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43</cp:revision>
  <cp:lastPrinted>2019-09-27T11:09:00Z</cp:lastPrinted>
  <dcterms:created xsi:type="dcterms:W3CDTF">2019-03-19T08:45:00Z</dcterms:created>
  <dcterms:modified xsi:type="dcterms:W3CDTF">2021-04-27T13:37:00Z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