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BDA999B" w14:textId="77777777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622353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4c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14:paraId="3C43AED8" w14:textId="77777777" w:rsidR="00452C9B" w:rsidRPr="007F7550" w:rsidRDefault="007F7550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14:paraId="0B975EBA" w14:textId="77777777" w:rsidR="00736A90" w:rsidRPr="00736A90" w:rsidRDefault="00736A90" w:rsidP="00736A90">
      <w:pPr>
        <w:spacing w:before="240"/>
        <w:rPr>
          <w:rFonts w:eastAsiaTheme="minorEastAsia" w:cs="Times New Roman"/>
          <w:b/>
          <w:bCs/>
          <w:color w:val="000000"/>
        </w:rPr>
      </w:pPr>
      <w:r w:rsidRPr="00736A90">
        <w:rPr>
          <w:rFonts w:eastAsiaTheme="minorEastAsia" w:cs="Times New Roman"/>
          <w:b/>
          <w:bCs/>
          <w:color w:val="000000"/>
        </w:rPr>
        <w:t>„</w:t>
      </w:r>
      <w:r w:rsidR="00622353" w:rsidRPr="00622353">
        <w:rPr>
          <w:rFonts w:eastAsiaTheme="minorEastAsia" w:cs="Times New Roman"/>
          <w:b/>
          <w:bCs/>
          <w:color w:val="000000"/>
        </w:rPr>
        <w:t>OŘ Praha – opravy nákladních a osobních výtahů a plošin</w:t>
      </w:r>
      <w:r w:rsidRPr="00736A90">
        <w:rPr>
          <w:rFonts w:eastAsiaTheme="minorEastAsia" w:cs="Times New Roman"/>
          <w:b/>
          <w:bCs/>
          <w:color w:val="000000"/>
        </w:rPr>
        <w:t>“</w:t>
      </w:r>
    </w:p>
    <w:p w14:paraId="4919B945" w14:textId="77777777" w:rsidR="00670AC9" w:rsidRPr="006239A6" w:rsidRDefault="00670AC9" w:rsidP="00BA2AE3">
      <w:pPr>
        <w:rPr>
          <w:rStyle w:val="Siln"/>
        </w:rPr>
      </w:pPr>
      <w:r w:rsidRPr="006239A6">
        <w:rPr>
          <w:rStyle w:val="Siln"/>
        </w:rPr>
        <w:t>Předmět dílčích smluv</w:t>
      </w:r>
    </w:p>
    <w:p w14:paraId="7AE572A4" w14:textId="77777777" w:rsidR="006239A6" w:rsidRPr="006239A6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rStyle w:val="Siln"/>
          <w:b w:val="0"/>
        </w:rPr>
        <w:t xml:space="preserve">Předmětem je </w:t>
      </w:r>
      <w:r w:rsidRPr="006239A6">
        <w:rPr>
          <w:bCs/>
        </w:rPr>
        <w:t>zajištění oprav, včetně náhradních dílů a navazujících komponent určených technických zařízení (nákladních a osobních výtahů a plošin) v objektech železničních stanic Oblastního ředitelství Praha.</w:t>
      </w:r>
    </w:p>
    <w:p w14:paraId="4F6BF0F8" w14:textId="77777777" w:rsidR="006239A6" w:rsidRPr="006239A6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bCs/>
        </w:rPr>
        <w:t>Zajištění pohotovostních činností pro servisní zásahy v následujících časových lhůtách:</w:t>
      </w:r>
    </w:p>
    <w:p w14:paraId="7B082971" w14:textId="77777777" w:rsidR="006239A6" w:rsidRPr="006239A6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bCs/>
        </w:rPr>
        <w:t>Žst. Praha Hlavní nádraží:</w:t>
      </w:r>
    </w:p>
    <w:p w14:paraId="032ABB9B" w14:textId="77777777" w:rsidR="006239A6" w:rsidRPr="006239A6" w:rsidRDefault="006239A6" w:rsidP="006239A6">
      <w:pPr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b/>
          <w:bCs/>
        </w:rPr>
      </w:pPr>
      <w:r w:rsidRPr="006239A6">
        <w:rPr>
          <w:bCs/>
        </w:rPr>
        <w:t xml:space="preserve">Nástup k práci Po- Pá (06:00 – 18:00)  do </w:t>
      </w:r>
      <w:r w:rsidRPr="006239A6">
        <w:rPr>
          <w:b/>
          <w:bCs/>
        </w:rPr>
        <w:t>6 hodin</w:t>
      </w:r>
    </w:p>
    <w:p w14:paraId="196BDDFC" w14:textId="77777777" w:rsidR="006239A6" w:rsidRPr="006239A6" w:rsidRDefault="006239A6" w:rsidP="006239A6">
      <w:pPr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bCs/>
        </w:rPr>
        <w:t xml:space="preserve">Nástup k práci mimo běžnou pracovní dobu Po – Pá (18:00 – 06:00, So, Ne a svátek) do </w:t>
      </w:r>
      <w:r w:rsidRPr="006239A6">
        <w:rPr>
          <w:b/>
          <w:bCs/>
        </w:rPr>
        <w:t>6 hodin</w:t>
      </w:r>
      <w:r w:rsidRPr="006239A6">
        <w:rPr>
          <w:bCs/>
        </w:rPr>
        <w:t xml:space="preserve"> </w:t>
      </w:r>
    </w:p>
    <w:p w14:paraId="5A2FDAA0" w14:textId="77777777" w:rsidR="006239A6" w:rsidRPr="006239A6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bCs/>
        </w:rPr>
        <w:t>Ostatní železniční stanice Oblastního ředitelství Praha:</w:t>
      </w:r>
    </w:p>
    <w:p w14:paraId="78E300F1" w14:textId="77777777" w:rsidR="006239A6" w:rsidRPr="006239A6" w:rsidRDefault="006239A6" w:rsidP="006239A6">
      <w:pPr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b/>
          <w:bCs/>
        </w:rPr>
      </w:pPr>
      <w:r w:rsidRPr="006239A6">
        <w:rPr>
          <w:bCs/>
        </w:rPr>
        <w:t xml:space="preserve">Nástup k práci Po- Pá (06:00 – 18:00)  do </w:t>
      </w:r>
      <w:r w:rsidRPr="006239A6">
        <w:rPr>
          <w:b/>
          <w:bCs/>
        </w:rPr>
        <w:t>12 hodin</w:t>
      </w:r>
    </w:p>
    <w:p w14:paraId="37A80F11" w14:textId="77777777" w:rsidR="006239A6" w:rsidRPr="006239A6" w:rsidRDefault="006239A6" w:rsidP="006239A6">
      <w:pPr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b/>
          <w:bCs/>
        </w:rPr>
      </w:pPr>
      <w:r w:rsidRPr="006239A6">
        <w:rPr>
          <w:bCs/>
        </w:rPr>
        <w:t xml:space="preserve">Nástup k práci mimo běžnou pracovní dobu Po – Pá (18:00 – 06:00, So, Ne a svátek) do </w:t>
      </w:r>
      <w:r w:rsidRPr="006239A6">
        <w:rPr>
          <w:b/>
          <w:bCs/>
        </w:rPr>
        <w:t xml:space="preserve"> 12 hodin</w:t>
      </w:r>
      <w:r w:rsidRPr="006239A6">
        <w:rPr>
          <w:bCs/>
        </w:rPr>
        <w:t xml:space="preserve"> </w:t>
      </w:r>
    </w:p>
    <w:p w14:paraId="4556E035" w14:textId="77777777" w:rsidR="006239A6" w:rsidRPr="006239A6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bCs/>
        </w:rPr>
        <w:t xml:space="preserve">Dodání cenové nabídky opravy:  </w:t>
      </w:r>
      <w:r w:rsidRPr="006239A6">
        <w:rPr>
          <w:b/>
          <w:bCs/>
        </w:rPr>
        <w:t>1 pracovní den</w:t>
      </w:r>
    </w:p>
    <w:p w14:paraId="30E433B6" w14:textId="77777777" w:rsidR="006239A6" w:rsidRPr="006239A6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bCs/>
        </w:rPr>
        <w:t xml:space="preserve">Odstranění závady do </w:t>
      </w:r>
      <w:r w:rsidRPr="006239A6">
        <w:rPr>
          <w:b/>
          <w:bCs/>
        </w:rPr>
        <w:t>30 dnů</w:t>
      </w:r>
      <w:r w:rsidRPr="006239A6">
        <w:rPr>
          <w:bCs/>
        </w:rPr>
        <w:t xml:space="preserve"> od potvrzení objednávky</w:t>
      </w:r>
    </w:p>
    <w:p w14:paraId="3DA09A85" w14:textId="77777777" w:rsidR="006239A6" w:rsidRPr="006239A6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bCs/>
        </w:rPr>
        <w:t>Součástí zajištění oprav je i provádění zkoušek po opravě a předání určeného technického zařízení servisní organizaci včetně protokolu objednateli.</w:t>
      </w:r>
    </w:p>
    <w:p w14:paraId="5554AC25" w14:textId="77777777" w:rsidR="006239A6" w:rsidRDefault="006239A6" w:rsidP="006239A6">
      <w:pPr>
        <w:tabs>
          <w:tab w:val="left" w:pos="1418"/>
        </w:tabs>
        <w:spacing w:before="120" w:after="60"/>
        <w:ind w:right="765"/>
        <w:jc w:val="both"/>
        <w:rPr>
          <w:rFonts w:cs="Arial"/>
          <w:noProof/>
        </w:rPr>
      </w:pPr>
      <w:r>
        <w:rPr>
          <w:rFonts w:cs="Arial"/>
          <w:noProof/>
        </w:rPr>
        <w:t>Plnění je prováděno na zařízení:</w:t>
      </w:r>
    </w:p>
    <w:tbl>
      <w:tblPr>
        <w:tblW w:w="4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120"/>
        <w:gridCol w:w="960"/>
      </w:tblGrid>
      <w:tr w:rsidR="006239A6" w:rsidRPr="00605119" w14:paraId="22E90F5B" w14:textId="77777777" w:rsidTr="00365B7A">
        <w:trPr>
          <w:trHeight w:val="2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DA63" w14:textId="607B1FB9" w:rsidR="006239A6" w:rsidRPr="00605119" w:rsidRDefault="00B067B2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Výrobce/dodavatel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E4BB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Výtahy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8878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Plošiny</w:t>
            </w:r>
          </w:p>
        </w:tc>
      </w:tr>
      <w:tr w:rsidR="006239A6" w:rsidRPr="00605119" w14:paraId="13B26294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D808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Altech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956C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F83F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</w:tr>
      <w:tr w:rsidR="006239A6" w:rsidRPr="00605119" w14:paraId="11AE0FF7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8B80" w14:textId="260B968C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DELTA B+B spol. s r.o.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8F21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D8D4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</w:tr>
      <w:tr w:rsidR="006239A6" w:rsidRPr="00605119" w14:paraId="09B9AE8C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2D20" w14:textId="7796B9CA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Garaventa Lift s.r.o.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1FE1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F33A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</w:tr>
      <w:tr w:rsidR="006239A6" w:rsidRPr="00605119" w14:paraId="259056C2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E65C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Hutní montáže Praha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256D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7D73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54FFC678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1560" w14:textId="0B0708A4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KONE</w:t>
            </w:r>
            <w:r w:rsid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a.s.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CB3E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F707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43D44D81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DE67" w14:textId="6224D999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MANUS spol. s r.o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1C70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DAD1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</w:t>
            </w:r>
          </w:p>
        </w:tc>
      </w:tr>
      <w:tr w:rsidR="006239A6" w:rsidRPr="00605119" w14:paraId="4E9828A4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35F0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OTIS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a.s.</w:t>
            </w:r>
            <w:bookmarkStart w:id="0" w:name="_GoBack"/>
            <w:bookmarkEnd w:id="0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1D7E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346E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741C528F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FCC3" w14:textId="43A6B078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PRAGOLIFT VÝTAHY s.r.o.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8EDE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C62C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5B00D068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2A36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Rovex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59F8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5EC7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2D58310C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16FF" w14:textId="0E66F1AB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Schindler CZ, a.s.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2015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B19A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5CF5CDD3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5381" w14:textId="29570C35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VÝTAHY SCHMITT+SOHN s.r.o.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53E7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AF2A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4BD5A344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033F" w14:textId="2E6059EB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Thyssenkrupp Výtahy, s.r.o.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81CB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36E4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6617A441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4AC2" w14:textId="39079F75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TRAMONTÁŽ, spol. s r.o.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D343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828F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66008859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3891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Transporta Chrudim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DC2E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B1D2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547CBF77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ADFA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Transporta Praha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1C06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E19B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7DDACDA3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EFF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Transporta Břeclav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3383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117E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182158D2" w14:textId="77777777" w:rsidTr="00365B7A">
        <w:trPr>
          <w:trHeight w:val="51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FCF44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VEB AUFZUGSWERK - LEIPZIG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30A7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6569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5E16E040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2470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Vítkovice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C6B6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0EC8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06D6ACCC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F009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VVS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5B9E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87C7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</w:tr>
      <w:tr w:rsidR="006239A6" w:rsidRPr="00605119" w14:paraId="2BDD4668" w14:textId="77777777" w:rsidTr="00365B7A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B6DE" w14:textId="4E886EAE" w:rsidR="006239A6" w:rsidRPr="00605119" w:rsidRDefault="00AD3E6C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D3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lastRenderedPageBreak/>
              <w:t>Výtahy Bestlift, s.r.o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5BA9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235B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5B55A404" w14:textId="77777777" w:rsidTr="00365B7A">
        <w:trPr>
          <w:trHeight w:val="51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D06E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Výtahy Podnik hl.m. Prahy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0532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24F6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24AF49BA" w14:textId="77777777" w:rsidTr="00365B7A">
        <w:trPr>
          <w:trHeight w:val="27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258F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Výtahy Praha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E5AC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C1BD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39A6" w:rsidRPr="00605119" w14:paraId="1DE4564F" w14:textId="77777777" w:rsidTr="00365B7A">
        <w:trPr>
          <w:trHeight w:val="27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24C8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00C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83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A9BB6" w14:textId="77777777" w:rsidR="006239A6" w:rsidRPr="00605119" w:rsidRDefault="006239A6" w:rsidP="00365B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051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23</w:t>
            </w:r>
          </w:p>
        </w:tc>
      </w:tr>
      <w:tr w:rsidR="006239A6" w:rsidRPr="00605119" w14:paraId="152EBBAE" w14:textId="77777777" w:rsidTr="00365B7A">
        <w:trPr>
          <w:trHeight w:val="27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C939" w14:textId="77777777" w:rsidR="006239A6" w:rsidRPr="00605119" w:rsidRDefault="006239A6" w:rsidP="00365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D677635" w14:textId="77777777" w:rsidR="006239A6" w:rsidRPr="00605119" w:rsidRDefault="006239A6" w:rsidP="00365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3CE2AF51" w14:textId="77777777" w:rsidR="006239A6" w:rsidRDefault="006239A6" w:rsidP="002C7B8B">
      <w:pPr>
        <w:tabs>
          <w:tab w:val="left" w:pos="1418"/>
        </w:tabs>
        <w:spacing w:before="60" w:after="60"/>
        <w:ind w:right="764"/>
        <w:rPr>
          <w:rStyle w:val="Siln"/>
          <w:b w:val="0"/>
          <w:highlight w:val="yellow"/>
        </w:rPr>
      </w:pPr>
    </w:p>
    <w:p w14:paraId="5F6C9D9A" w14:textId="77777777" w:rsidR="00670AC9" w:rsidRPr="006239A6" w:rsidRDefault="00CF341A" w:rsidP="00BA2AE3">
      <w:pPr>
        <w:rPr>
          <w:rStyle w:val="Siln"/>
        </w:rPr>
      </w:pPr>
      <w:r w:rsidRPr="006239A6">
        <w:rPr>
          <w:rStyle w:val="Siln"/>
        </w:rPr>
        <w:t>Místa</w:t>
      </w:r>
      <w:r w:rsidR="00BC6413" w:rsidRPr="006239A6">
        <w:rPr>
          <w:rStyle w:val="Siln"/>
        </w:rPr>
        <w:t xml:space="preserve"> plnění </w:t>
      </w:r>
    </w:p>
    <w:p w14:paraId="64E6FB5A" w14:textId="77777777" w:rsidR="003E3D29" w:rsidRPr="006239A6" w:rsidRDefault="003E3D29" w:rsidP="003E3D29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  <w:r w:rsidRPr="006239A6">
        <w:rPr>
          <w:rStyle w:val="FontStyle38"/>
          <w:rFonts w:asciiTheme="minorHAnsi" w:hAnsiTheme="minorHAnsi"/>
          <w:sz w:val="18"/>
          <w:szCs w:val="18"/>
        </w:rPr>
        <w:t>Místem plnění veřejných zakázek zadávanýc</w:t>
      </w:r>
      <w:r w:rsidR="006239A6" w:rsidRPr="006239A6">
        <w:rPr>
          <w:rStyle w:val="FontStyle38"/>
          <w:rFonts w:asciiTheme="minorHAnsi" w:hAnsiTheme="minorHAnsi"/>
          <w:sz w:val="18"/>
          <w:szCs w:val="18"/>
        </w:rPr>
        <w:t xml:space="preserve">h na základě rámcové dohody je </w:t>
      </w:r>
      <w:r w:rsidR="00032BAF" w:rsidRPr="006239A6">
        <w:rPr>
          <w:rStyle w:val="FontStyle38"/>
          <w:rFonts w:asciiTheme="minorHAnsi" w:hAnsiTheme="minorHAnsi"/>
          <w:sz w:val="18"/>
          <w:szCs w:val="18"/>
        </w:rPr>
        <w:t>obvod Oblastního ředitelství Praha.</w:t>
      </w:r>
    </w:p>
    <w:p w14:paraId="0C45A6CE" w14:textId="77777777" w:rsidR="002617A6" w:rsidRPr="006239A6" w:rsidRDefault="00123571" w:rsidP="002617A6">
      <w:pPr>
        <w:spacing w:before="240"/>
        <w:rPr>
          <w:rStyle w:val="Siln"/>
        </w:rPr>
      </w:pPr>
      <w:r w:rsidRPr="006239A6">
        <w:rPr>
          <w:rStyle w:val="Siln"/>
        </w:rPr>
        <w:t>Další podmínky provádění předmětu dílčích smluv</w:t>
      </w:r>
    </w:p>
    <w:p w14:paraId="671CF105" w14:textId="77777777" w:rsidR="006239A6" w:rsidRDefault="006239A6" w:rsidP="006239A6">
      <w:pPr>
        <w:tabs>
          <w:tab w:val="left" w:pos="6096"/>
        </w:tabs>
        <w:suppressAutoHyphens/>
        <w:overflowPunct w:val="0"/>
        <w:adjustRightInd w:val="0"/>
        <w:spacing w:before="120" w:after="0"/>
        <w:ind w:right="764"/>
        <w:jc w:val="both"/>
        <w:textAlignment w:val="baseline"/>
        <w:rPr>
          <w:rFonts w:cs="Arial"/>
        </w:rPr>
      </w:pPr>
      <w:r>
        <w:rPr>
          <w:rFonts w:cs="Arial"/>
        </w:rPr>
        <w:t>Zhotovitel poskytuje záruku za jakost v záručních dobách stanovených v technických podmínkách staveb státních drah.</w:t>
      </w:r>
      <w:r w:rsidRPr="00350513">
        <w:rPr>
          <w:rFonts w:cs="Arial"/>
        </w:rPr>
        <w:t xml:space="preserve"> </w:t>
      </w:r>
    </w:p>
    <w:p w14:paraId="5C5731E5" w14:textId="77777777" w:rsidR="00CE657C" w:rsidRPr="00EC3F74" w:rsidRDefault="006239A6" w:rsidP="006E7AA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Zhotovitel </w:t>
      </w:r>
      <w:r w:rsidR="00CE657C" w:rsidRPr="006239A6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se zavazuje postupovat v souladu s přílohou rámcové dohody nazvanou „Nález </w:t>
      </w:r>
      <w:r w:rsidR="00CE657C" w:rsidRPr="00EC3F7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podezřelého předmětu“.</w:t>
      </w:r>
    </w:p>
    <w:p w14:paraId="1821F94F" w14:textId="77777777" w:rsidR="00CE657C" w:rsidRDefault="006239A6" w:rsidP="006E7AA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EC3F7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CE657C" w:rsidRPr="00EC3F7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je pov</w:t>
      </w:r>
      <w:r w:rsidR="00622353" w:rsidRPr="00EC3F7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inen dále dodržovat předpis SŽ</w:t>
      </w:r>
      <w:r w:rsidR="00CE657C" w:rsidRPr="00EC3F7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Bp1 – Předpis o bezpečnosti a ochraně zdraví při práci a bude dodržovat Pokyn ředitele OŘ Praha č. 13/2019: Analýza nebezpečí a hodnocení rizik. Podání nabídky je považováno za potvrzení prokazatelného seznámení se s tímto dokumentem, který byl </w:t>
      </w:r>
      <w:r w:rsidR="002C7B8B" w:rsidRPr="00EC3F7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prodávajícímu</w:t>
      </w:r>
      <w:r w:rsidR="00CE657C" w:rsidRPr="00EC3F7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poskytnut současně s výzvou k předložení nabídky.</w:t>
      </w:r>
    </w:p>
    <w:sectPr w:rsidR="00CE657C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27584" w14:textId="66123670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AD3E6C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AD3E6C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3EAAAF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282ACA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2CE53B95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3E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3E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524E4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751CA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3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5"/>
  </w:num>
  <w:num w:numId="5">
    <w:abstractNumId w:val="21"/>
  </w:num>
  <w:num w:numId="6">
    <w:abstractNumId w:val="27"/>
  </w:num>
  <w:num w:numId="7">
    <w:abstractNumId w:val="25"/>
  </w:num>
  <w:num w:numId="8">
    <w:abstractNumId w:val="33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1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6"/>
  </w:num>
  <w:num w:numId="18">
    <w:abstractNumId w:val="9"/>
  </w:num>
  <w:num w:numId="19">
    <w:abstractNumId w:val="5"/>
  </w:num>
  <w:num w:numId="20">
    <w:abstractNumId w:val="19"/>
  </w:num>
  <w:num w:numId="21">
    <w:abstractNumId w:val="34"/>
  </w:num>
  <w:num w:numId="22">
    <w:abstractNumId w:val="12"/>
  </w:num>
  <w:num w:numId="23">
    <w:abstractNumId w:val="32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9"/>
  </w:num>
  <w:num w:numId="31">
    <w:abstractNumId w:val="30"/>
  </w:num>
  <w:num w:numId="32">
    <w:abstractNumId w:val="8"/>
  </w:num>
  <w:num w:numId="33">
    <w:abstractNumId w:val="2"/>
  </w:num>
  <w:num w:numId="34">
    <w:abstractNumId w:val="28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4"/>
  </w:num>
  <w:num w:numId="41">
    <w:abstractNumId w:val="37"/>
  </w:num>
  <w:num w:numId="42">
    <w:abstractNumId w:val="18"/>
  </w:num>
  <w:num w:numId="43">
    <w:abstractNumId w:val="20"/>
  </w:num>
  <w:num w:numId="44">
    <w:abstractNumId w:val="36"/>
  </w:num>
  <w:num w:numId="45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83180"/>
    <w:rsid w:val="00086FD4"/>
    <w:rsid w:val="00095955"/>
    <w:rsid w:val="000A79A9"/>
    <w:rsid w:val="000B7907"/>
    <w:rsid w:val="000D22BB"/>
    <w:rsid w:val="000E3C12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5F4A"/>
    <w:rsid w:val="002A6652"/>
    <w:rsid w:val="002A6FE2"/>
    <w:rsid w:val="002B2EDF"/>
    <w:rsid w:val="002B4B73"/>
    <w:rsid w:val="002C31BF"/>
    <w:rsid w:val="002C7B8B"/>
    <w:rsid w:val="002E0CD7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7DD0"/>
    <w:rsid w:val="00812143"/>
    <w:rsid w:val="00813F11"/>
    <w:rsid w:val="00860357"/>
    <w:rsid w:val="0086362E"/>
    <w:rsid w:val="00897294"/>
    <w:rsid w:val="008A08D3"/>
    <w:rsid w:val="008A3568"/>
    <w:rsid w:val="008A416F"/>
    <w:rsid w:val="008B1904"/>
    <w:rsid w:val="008C1553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4328"/>
    <w:rsid w:val="00A456C7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B01CAD"/>
    <w:rsid w:val="00B03487"/>
    <w:rsid w:val="00B067B2"/>
    <w:rsid w:val="00B10120"/>
    <w:rsid w:val="00B15D0D"/>
    <w:rsid w:val="00B343D4"/>
    <w:rsid w:val="00B42268"/>
    <w:rsid w:val="00B45E9E"/>
    <w:rsid w:val="00B50D6D"/>
    <w:rsid w:val="00B75EE1"/>
    <w:rsid w:val="00B77481"/>
    <w:rsid w:val="00B8518B"/>
    <w:rsid w:val="00BA098D"/>
    <w:rsid w:val="00BA2AE3"/>
    <w:rsid w:val="00BB3740"/>
    <w:rsid w:val="00BB4BBA"/>
    <w:rsid w:val="00BC0BB3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E371D"/>
    <w:rsid w:val="00CE657C"/>
    <w:rsid w:val="00CF341A"/>
    <w:rsid w:val="00D061C9"/>
    <w:rsid w:val="00D068B6"/>
    <w:rsid w:val="00D15D55"/>
    <w:rsid w:val="00D2050E"/>
    <w:rsid w:val="00D21061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B104F"/>
    <w:rsid w:val="00EC2355"/>
    <w:rsid w:val="00EC3F74"/>
    <w:rsid w:val="00ED14BD"/>
    <w:rsid w:val="00ED70A5"/>
    <w:rsid w:val="00EE4DDB"/>
    <w:rsid w:val="00EF355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F4677-AB7A-4DD8-8573-61FF2BEB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szdc_administrativni-dopis_v8_VZOR.dotx</Template>
  <TotalTime>1302</TotalTime>
  <Pages>2</Pages>
  <Words>350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117</cp:revision>
  <cp:lastPrinted>2021-04-12T10:42:00Z</cp:lastPrinted>
  <dcterms:created xsi:type="dcterms:W3CDTF">2019-03-21T08:57:00Z</dcterms:created>
  <dcterms:modified xsi:type="dcterms:W3CDTF">2021-04-12T10:42:00Z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