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F422D3" w:rsidRDefault="00F422D3" w:rsidP="00714113">
      <w:pPr>
        <w:pStyle w:val="Titul2"/>
        <w:spacing w:after="0"/>
      </w:pPr>
      <w:r>
        <w:t xml:space="preserve">Název zakázky: </w:t>
      </w:r>
    </w:p>
    <w:p w:rsidR="00714113" w:rsidRDefault="00714113" w:rsidP="00714113">
      <w:pPr>
        <w:pStyle w:val="Titul2"/>
        <w:spacing w:after="0"/>
      </w:pPr>
      <w:r>
        <w:t xml:space="preserve">Soubor 2 staveb: </w:t>
      </w:r>
    </w:p>
    <w:p w:rsidR="00714113" w:rsidRDefault="00714113" w:rsidP="00714113">
      <w:pPr>
        <w:pStyle w:val="Titul2"/>
        <w:spacing w:after="0"/>
      </w:pPr>
      <w:r>
        <w:t>A: „</w:t>
      </w:r>
      <w:r w:rsidR="00CF71B4" w:rsidRPr="00CF71B4">
        <w:t>Rekonstrukce PZS přejezd P7548 v km 44,644 trati Olomouc – Krnov</w:t>
      </w:r>
      <w:r>
        <w:t>“</w:t>
      </w:r>
    </w:p>
    <w:p w:rsidR="00714113" w:rsidRDefault="00714113" w:rsidP="00714113">
      <w:pPr>
        <w:pStyle w:val="Titul2"/>
        <w:spacing w:after="0"/>
      </w:pPr>
      <w:r>
        <w:t>B: „</w:t>
      </w:r>
      <w:r w:rsidR="00CF71B4" w:rsidRPr="00CF71B4">
        <w:t>Doplnění závor na přejezdu P7551 v km 48,851 trati Olomouc</w:t>
      </w:r>
      <w:r w:rsidR="00365BA6">
        <w:t xml:space="preserve"> </w:t>
      </w:r>
      <w:r w:rsidR="00CF71B4" w:rsidRPr="00CF71B4">
        <w:t>- Krnov</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714113" w:rsidRPr="005C7EED" w:rsidRDefault="00714113" w:rsidP="00714113">
      <w:pPr>
        <w:spacing w:after="120"/>
        <w:ind w:left="567"/>
        <w:jc w:val="both"/>
        <w:rPr>
          <w:rFonts w:ascii="Verdana" w:hAnsi="Verdana" w:cs="Calibri"/>
        </w:rPr>
      </w:pPr>
      <w:r w:rsidRPr="00714113">
        <w:t>Mgr. Lucie Zapletalová</w:t>
      </w:r>
      <w:r w:rsidRPr="005C7EED">
        <w:rPr>
          <w:rFonts w:ascii="Verdana" w:hAnsi="Verdana" w:cs="Calibri"/>
        </w:rPr>
        <w:t xml:space="preserve">, tel.: </w:t>
      </w:r>
      <w:r w:rsidRPr="00714113">
        <w:t>+420 720 051 460</w:t>
      </w:r>
      <w:r w:rsidRPr="005C7EED">
        <w:rPr>
          <w:rFonts w:ascii="Verdana" w:hAnsi="Verdana" w:cs="Calibri"/>
        </w:rPr>
        <w:t>,</w:t>
      </w:r>
    </w:p>
    <w:p w:rsidR="00714113" w:rsidRPr="005C7EED" w:rsidRDefault="00714113" w:rsidP="00714113">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714113" w:rsidRPr="005C7EED" w:rsidRDefault="00714113" w:rsidP="00714113">
      <w:pPr>
        <w:spacing w:after="120"/>
        <w:ind w:left="567"/>
        <w:jc w:val="both"/>
        <w:rPr>
          <w:rFonts w:ascii="Verdana" w:hAnsi="Verdana" w:cs="Calibri"/>
        </w:rPr>
      </w:pPr>
      <w:r>
        <w:t>Ing. Jana Mantuanelli</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t>+420 725 887 378</w:t>
      </w:r>
      <w:r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2D2FB4" w:rsidRDefault="002D2FB4" w:rsidP="002D2FB4">
      <w:pPr>
        <w:pStyle w:val="Textbezodsazen"/>
        <w:spacing w:after="0"/>
      </w:pPr>
      <w:r>
        <w:t>ISPROFOND: 3273514800</w:t>
      </w:r>
    </w:p>
    <w:p w:rsidR="002D2FB4" w:rsidRDefault="002D2FB4" w:rsidP="002D2FB4">
      <w:pPr>
        <w:pStyle w:val="Textbezodsazen"/>
        <w:spacing w:after="0"/>
      </w:pPr>
      <w:r>
        <w:t xml:space="preserve">SUBISPROFIN: </w:t>
      </w:r>
    </w:p>
    <w:p w:rsidR="002D2FB4" w:rsidRDefault="002D2FB4" w:rsidP="002D2FB4">
      <w:pPr>
        <w:pStyle w:val="Textbezodsazen"/>
        <w:spacing w:after="0"/>
      </w:pPr>
      <w:r>
        <w:t>Stavba A:   5813520074</w:t>
      </w:r>
    </w:p>
    <w:p w:rsidR="002D2FB4" w:rsidRDefault="002D2FB4" w:rsidP="002D2FB4">
      <w:pPr>
        <w:pStyle w:val="Textbezodsazen"/>
        <w:spacing w:after="0"/>
      </w:pPr>
      <w:r>
        <w:t>Stavba B:   5813520075</w:t>
      </w:r>
    </w:p>
    <w:p w:rsidR="00F422D3" w:rsidRDefault="00F422D3" w:rsidP="00B42F40">
      <w:pPr>
        <w:pStyle w:val="Textbezodsazen"/>
      </w:pPr>
      <w:r w:rsidRPr="00B42F40">
        <w:t>a</w:t>
      </w: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lastRenderedPageBreak/>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F71B4">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5E638E" w:rsidRPr="005E638E">
        <w:rPr>
          <w:b/>
        </w:rPr>
        <w:t>Soubor 2 staveb: A: „</w:t>
      </w:r>
      <w:r w:rsidR="00CF71B4" w:rsidRPr="00CF71B4">
        <w:rPr>
          <w:b/>
        </w:rPr>
        <w:t>Rekonstrukce PZS přejezd P7548 v km 44,644 trati Olomouc – Krnov</w:t>
      </w:r>
      <w:r w:rsidR="005E638E" w:rsidRPr="005E638E">
        <w:rPr>
          <w:b/>
        </w:rPr>
        <w:t>“</w:t>
      </w:r>
      <w:r w:rsidR="005E638E">
        <w:t xml:space="preserve"> </w:t>
      </w:r>
      <w:r w:rsidR="005E638E" w:rsidRPr="005C7EED">
        <w:t>(dále jen „stavba</w:t>
      </w:r>
      <w:r w:rsidR="005E638E">
        <w:t xml:space="preserve"> A</w:t>
      </w:r>
      <w:r w:rsidR="005E638E" w:rsidRPr="005C7EED">
        <w:t>“)</w:t>
      </w:r>
      <w:r w:rsidR="005E638E" w:rsidRPr="00AA0121">
        <w:t xml:space="preserve">, </w:t>
      </w:r>
      <w:r w:rsidR="005E638E" w:rsidRPr="005E638E">
        <w:rPr>
          <w:b/>
        </w:rPr>
        <w:t>B: „</w:t>
      </w:r>
      <w:r w:rsidR="00CF71B4" w:rsidRPr="00CF71B4">
        <w:rPr>
          <w:b/>
        </w:rPr>
        <w:t>Doplnění závor na přejezdu P7551 v km 48,851 trati Olomouc</w:t>
      </w:r>
      <w:r w:rsidR="00365BA6">
        <w:rPr>
          <w:b/>
        </w:rPr>
        <w:t xml:space="preserve"> </w:t>
      </w:r>
      <w:r w:rsidR="00CF71B4" w:rsidRPr="00CF71B4">
        <w:rPr>
          <w:b/>
        </w:rPr>
        <w:t>- Krnov</w:t>
      </w:r>
      <w:r w:rsidR="005E638E" w:rsidRPr="005E638E">
        <w:rPr>
          <w:b/>
        </w:rPr>
        <w:t>“</w:t>
      </w:r>
      <w:r w:rsidR="00F91101" w:rsidRPr="005C7EED">
        <w:t xml:space="preserve"> (dále jen „stavba</w:t>
      </w:r>
      <w:r w:rsidR="005E638E">
        <w:t xml:space="preserve"> B</w:t>
      </w:r>
      <w:r w:rsidR="00F91101" w:rsidRPr="005C7EED">
        <w:t xml:space="preserve">“).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w:t>
      </w:r>
      <w:r w:rsidRPr="005C7EED">
        <w:lastRenderedPageBreak/>
        <w:t xml:space="preserve">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0E06A3" w:rsidRPr="00097C13" w:rsidRDefault="000E06A3" w:rsidP="000E06A3">
      <w:pPr>
        <w:spacing w:after="120"/>
        <w:ind w:left="709"/>
        <w:jc w:val="both"/>
        <w:rPr>
          <w:rFonts w:ascii="Verdana" w:eastAsia="Verdana" w:hAnsi="Verdana" w:cs="Times New Roman"/>
        </w:rPr>
      </w:pPr>
      <w:r w:rsidRPr="00097C13">
        <w:rPr>
          <w:rFonts w:ascii="Verdana" w:eastAsia="Verdana" w:hAnsi="Verdana" w:cs="Times New Roman"/>
        </w:rPr>
        <w:t>z toho:</w:t>
      </w:r>
    </w:p>
    <w:p w:rsidR="000E06A3" w:rsidRPr="00097C13" w:rsidRDefault="00097C13" w:rsidP="00CF71B4">
      <w:pPr>
        <w:pStyle w:val="Odstavecseseznamem"/>
        <w:numPr>
          <w:ilvl w:val="0"/>
          <w:numId w:val="29"/>
        </w:numPr>
        <w:spacing w:after="120"/>
        <w:contextualSpacing w:val="0"/>
        <w:jc w:val="both"/>
        <w:rPr>
          <w:rFonts w:ascii="Verdana" w:eastAsia="Verdana" w:hAnsi="Verdana" w:cs="Times New Roman"/>
        </w:rPr>
      </w:pPr>
      <w:r w:rsidRPr="00097C13">
        <w:rPr>
          <w:rFonts w:ascii="Verdana" w:eastAsia="Verdana" w:hAnsi="Verdana" w:cs="Times New Roman"/>
        </w:rPr>
        <w:t xml:space="preserve">Cena pro stavbu </w:t>
      </w:r>
      <w:r w:rsidRPr="00097C13">
        <w:rPr>
          <w:b/>
        </w:rPr>
        <w:t>A: „</w:t>
      </w:r>
      <w:r w:rsidR="00CF71B4" w:rsidRPr="00CF71B4">
        <w:rPr>
          <w:b/>
        </w:rPr>
        <w:t>Rekonstrukce PZS přejezd P7548 v km 44,644 trati Olomouc – Krnov</w:t>
      </w:r>
      <w:r w:rsidR="000E06A3" w:rsidRPr="00097C13">
        <w:rPr>
          <w:rFonts w:ascii="Verdana" w:eastAsia="Verdana" w:hAnsi="Verdana" w:cs="Times New Roman"/>
        </w:rPr>
        <w:t>“</w:t>
      </w:r>
    </w:p>
    <w:p w:rsidR="000E06A3" w:rsidRPr="000E06A3" w:rsidRDefault="000E06A3" w:rsidP="000E06A3">
      <w:pPr>
        <w:pStyle w:val="Odstavecseseznamem"/>
        <w:tabs>
          <w:tab w:val="right" w:leader="dot" w:pos="8647"/>
        </w:tabs>
        <w:spacing w:before="120" w:after="120"/>
        <w:ind w:left="1069"/>
        <w:rPr>
          <w:rFonts w:ascii="Verdana" w:hAnsi="Verdana" w:cs="Calibri"/>
          <w:highlight w:val="green"/>
        </w:rPr>
      </w:pPr>
      <w:r w:rsidRPr="00097C13">
        <w:rPr>
          <w:rFonts w:ascii="Verdana" w:hAnsi="Verdana" w:cs="Calibri"/>
        </w:rPr>
        <w:t xml:space="preserve">Cena za výkon činnosti při přípravě stavby bez DPH </w:t>
      </w:r>
      <w:r w:rsidRPr="00097C13">
        <w:rPr>
          <w:rFonts w:ascii="Verdana" w:hAnsi="Verdana" w:cs="Calibri"/>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097C13">
        <w:rPr>
          <w:rFonts w:ascii="Verdana" w:hAnsi="Verdana" w:cs="Calibri"/>
        </w:rPr>
        <w:t xml:space="preserve"> Kč</w:t>
      </w:r>
    </w:p>
    <w:p w:rsidR="000E06A3" w:rsidRPr="000E06A3" w:rsidRDefault="000E06A3" w:rsidP="000E06A3">
      <w:pPr>
        <w:pStyle w:val="Odstavecseseznamem"/>
        <w:tabs>
          <w:tab w:val="right" w:leader="dot" w:pos="8647"/>
        </w:tabs>
        <w:spacing w:after="120"/>
        <w:ind w:left="1069"/>
        <w:rPr>
          <w:rFonts w:ascii="Verdana" w:hAnsi="Verdana" w:cs="Calibri"/>
          <w:highlight w:val="green"/>
          <w:u w:val="single"/>
        </w:rPr>
      </w:pPr>
      <w:r w:rsidRPr="00097C13">
        <w:rPr>
          <w:rFonts w:ascii="Verdana" w:hAnsi="Verdana" w:cs="Calibri"/>
          <w:u w:val="single"/>
        </w:rPr>
        <w:t xml:space="preserve">Cena za výkon činnosti při realizaci stavby bez DPH </w:t>
      </w:r>
      <w:r w:rsidRPr="00097C13">
        <w:rPr>
          <w:rFonts w:ascii="Verdana" w:hAnsi="Verdana" w:cs="Calibri"/>
          <w:u w:val="single"/>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097C13">
        <w:rPr>
          <w:rFonts w:ascii="Verdana" w:hAnsi="Verdana" w:cs="Calibri"/>
          <w:u w:val="single"/>
        </w:rPr>
        <w:t xml:space="preserve"> Kč</w:t>
      </w:r>
    </w:p>
    <w:p w:rsidR="000E06A3" w:rsidRPr="000E06A3" w:rsidRDefault="000E06A3" w:rsidP="000E06A3">
      <w:pPr>
        <w:pStyle w:val="Odstavecseseznamem"/>
        <w:tabs>
          <w:tab w:val="right" w:leader="dot" w:pos="8647"/>
        </w:tabs>
        <w:spacing w:after="120"/>
        <w:ind w:left="1072"/>
        <w:contextualSpacing w:val="0"/>
        <w:rPr>
          <w:rFonts w:ascii="Verdana" w:hAnsi="Verdana" w:cs="Calibri"/>
          <w:b/>
          <w:highlight w:val="green"/>
        </w:rPr>
      </w:pPr>
      <w:r w:rsidRPr="00097C13">
        <w:rPr>
          <w:rFonts w:ascii="Verdana" w:hAnsi="Verdana" w:cs="Calibri"/>
          <w:b/>
        </w:rPr>
        <w:t xml:space="preserve">Celková cena bez DPH </w:t>
      </w:r>
      <w:r w:rsidRPr="00097C13">
        <w:rPr>
          <w:rFonts w:ascii="Verdana" w:hAnsi="Verdana" w:cs="Calibri"/>
          <w:b/>
        </w:rPr>
        <w:tab/>
      </w:r>
      <w:r w:rsidRPr="000E06A3">
        <w:rPr>
          <w:b/>
          <w:highlight w:val="yellow"/>
        </w:rPr>
        <w:fldChar w:fldCharType="begin"/>
      </w:r>
      <w:r w:rsidRPr="000E06A3">
        <w:rPr>
          <w:b/>
          <w:highlight w:val="yellow"/>
        </w:rPr>
        <w:instrText xml:space="preserve"> MACROBUTTON  VložitŠirokouMezeru "[VLOŽÍ DODAVATEL]" </w:instrText>
      </w:r>
      <w:r w:rsidRPr="000E06A3">
        <w:rPr>
          <w:b/>
          <w:highlight w:val="yellow"/>
        </w:rPr>
        <w:fldChar w:fldCharType="end"/>
      </w:r>
      <w:r w:rsidRPr="00097C13">
        <w:rPr>
          <w:rFonts w:ascii="Verdana" w:hAnsi="Verdana" w:cs="Calibri"/>
          <w:b/>
        </w:rPr>
        <w:t xml:space="preserve"> Kč</w:t>
      </w:r>
    </w:p>
    <w:p w:rsidR="000E06A3" w:rsidRPr="00C11E4C" w:rsidRDefault="000E06A3" w:rsidP="00CF71B4">
      <w:pPr>
        <w:pStyle w:val="Odstavecseseznamem"/>
        <w:numPr>
          <w:ilvl w:val="0"/>
          <w:numId w:val="29"/>
        </w:numPr>
        <w:spacing w:after="120"/>
        <w:contextualSpacing w:val="0"/>
        <w:jc w:val="both"/>
        <w:rPr>
          <w:rFonts w:ascii="Verdana" w:eastAsia="Verdana" w:hAnsi="Verdana" w:cs="Times New Roman"/>
        </w:rPr>
      </w:pPr>
      <w:r w:rsidRPr="00C11E4C">
        <w:rPr>
          <w:rFonts w:ascii="Verdana" w:eastAsia="Verdana" w:hAnsi="Verdana" w:cs="Times New Roman"/>
        </w:rPr>
        <w:t xml:space="preserve">Cena pro stavbu </w:t>
      </w:r>
      <w:r w:rsidR="00C11E4C" w:rsidRPr="00C11E4C">
        <w:rPr>
          <w:rFonts w:ascii="Verdana" w:eastAsia="Verdana" w:hAnsi="Verdana" w:cs="Times New Roman"/>
          <w:b/>
        </w:rPr>
        <w:t>B: „</w:t>
      </w:r>
      <w:r w:rsidR="00CF71B4" w:rsidRPr="00CF71B4">
        <w:rPr>
          <w:rFonts w:ascii="Verdana" w:eastAsia="Verdana" w:hAnsi="Verdana" w:cs="Times New Roman"/>
          <w:b/>
        </w:rPr>
        <w:t>Doplnění závor na přejezdu P7551 v km 48,851 trati Olomouc</w:t>
      </w:r>
      <w:r w:rsidR="00365BA6">
        <w:rPr>
          <w:rFonts w:ascii="Verdana" w:eastAsia="Verdana" w:hAnsi="Verdana" w:cs="Times New Roman"/>
          <w:b/>
        </w:rPr>
        <w:t xml:space="preserve"> </w:t>
      </w:r>
      <w:bookmarkStart w:id="0" w:name="_GoBack"/>
      <w:bookmarkEnd w:id="0"/>
      <w:r w:rsidR="00CF71B4" w:rsidRPr="00CF71B4">
        <w:rPr>
          <w:rFonts w:ascii="Verdana" w:eastAsia="Verdana" w:hAnsi="Verdana" w:cs="Times New Roman"/>
          <w:b/>
        </w:rPr>
        <w:t>- Krnov</w:t>
      </w:r>
      <w:r w:rsidR="00C11E4C" w:rsidRPr="00C11E4C">
        <w:rPr>
          <w:rFonts w:ascii="Verdana" w:eastAsia="Verdana" w:hAnsi="Verdana" w:cs="Times New Roman"/>
          <w:b/>
        </w:rPr>
        <w:t>“</w:t>
      </w:r>
    </w:p>
    <w:p w:rsidR="000E06A3" w:rsidRPr="000E06A3" w:rsidRDefault="000E06A3" w:rsidP="000E06A3">
      <w:pPr>
        <w:pStyle w:val="Odstavecseseznamem"/>
        <w:tabs>
          <w:tab w:val="right" w:leader="dot" w:pos="8647"/>
        </w:tabs>
        <w:spacing w:before="120" w:after="120"/>
        <w:ind w:left="1069"/>
        <w:rPr>
          <w:rFonts w:ascii="Verdana" w:hAnsi="Verdana" w:cs="Calibri"/>
          <w:highlight w:val="green"/>
        </w:rPr>
      </w:pPr>
      <w:r w:rsidRPr="00C11E4C">
        <w:rPr>
          <w:rFonts w:ascii="Verdana" w:hAnsi="Verdana" w:cs="Calibri"/>
        </w:rPr>
        <w:t xml:space="preserve">Cena za výkon činnosti při přípravě stavby bez DPH </w:t>
      </w:r>
      <w:r w:rsidRPr="00C11E4C">
        <w:rPr>
          <w:rFonts w:ascii="Verdana" w:hAnsi="Verdana" w:cs="Calibri"/>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C11E4C">
        <w:rPr>
          <w:rFonts w:ascii="Verdana" w:hAnsi="Verdana" w:cs="Calibri"/>
        </w:rPr>
        <w:t xml:space="preserve"> Kč</w:t>
      </w:r>
    </w:p>
    <w:p w:rsidR="000E06A3" w:rsidRPr="000E06A3" w:rsidRDefault="000E06A3" w:rsidP="000E06A3">
      <w:pPr>
        <w:pStyle w:val="Odstavecseseznamem"/>
        <w:tabs>
          <w:tab w:val="right" w:leader="dot" w:pos="8647"/>
        </w:tabs>
        <w:spacing w:after="120"/>
        <w:ind w:left="1069"/>
        <w:rPr>
          <w:rFonts w:ascii="Verdana" w:hAnsi="Verdana" w:cs="Calibri"/>
          <w:highlight w:val="green"/>
          <w:u w:val="single"/>
        </w:rPr>
      </w:pPr>
      <w:r w:rsidRPr="00C11E4C">
        <w:rPr>
          <w:rFonts w:ascii="Verdana" w:hAnsi="Verdana" w:cs="Calibri"/>
          <w:u w:val="single"/>
        </w:rPr>
        <w:t xml:space="preserve">Cena za výkon činnosti při realizaci stavby bez DPH </w:t>
      </w:r>
      <w:r w:rsidRPr="00C11E4C">
        <w:rPr>
          <w:rFonts w:ascii="Verdana" w:hAnsi="Verdana" w:cs="Calibri"/>
          <w:u w:val="single"/>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C11E4C">
        <w:rPr>
          <w:rFonts w:ascii="Verdana" w:hAnsi="Verdana" w:cs="Calibri"/>
          <w:u w:val="single"/>
        </w:rPr>
        <w:t xml:space="preserve"> Kč</w:t>
      </w:r>
    </w:p>
    <w:p w:rsidR="000E06A3" w:rsidRPr="000E06A3" w:rsidRDefault="000E06A3" w:rsidP="000E06A3">
      <w:pPr>
        <w:pStyle w:val="Odstavecseseznamem"/>
        <w:tabs>
          <w:tab w:val="right" w:leader="dot" w:pos="8647"/>
        </w:tabs>
        <w:spacing w:after="120"/>
        <w:ind w:left="1069"/>
        <w:contextualSpacing w:val="0"/>
        <w:rPr>
          <w:rFonts w:ascii="Verdana" w:hAnsi="Verdana" w:cs="Calibri"/>
          <w:b/>
          <w:highlight w:val="green"/>
        </w:rPr>
      </w:pPr>
      <w:r w:rsidRPr="00C11E4C">
        <w:rPr>
          <w:rFonts w:ascii="Verdana" w:hAnsi="Verdana" w:cs="Calibri"/>
          <w:b/>
        </w:rPr>
        <w:t xml:space="preserve">Celková cena bez DPH </w:t>
      </w:r>
      <w:r w:rsidRPr="00C11E4C">
        <w:rPr>
          <w:rFonts w:ascii="Verdana" w:hAnsi="Verdana" w:cs="Calibri"/>
          <w:b/>
        </w:rPr>
        <w:tab/>
      </w:r>
      <w:r w:rsidRPr="000E06A3">
        <w:rPr>
          <w:b/>
          <w:highlight w:val="yellow"/>
        </w:rPr>
        <w:fldChar w:fldCharType="begin"/>
      </w:r>
      <w:r w:rsidRPr="000E06A3">
        <w:rPr>
          <w:b/>
          <w:highlight w:val="yellow"/>
        </w:rPr>
        <w:instrText xml:space="preserve"> MACROBUTTON  VložitŠirokouMezeru "[VLOŽÍ DODAVATEL]" </w:instrText>
      </w:r>
      <w:r w:rsidRPr="000E06A3">
        <w:rPr>
          <w:b/>
          <w:highlight w:val="yellow"/>
        </w:rPr>
        <w:fldChar w:fldCharType="end"/>
      </w:r>
      <w:r w:rsidRPr="00C11E4C">
        <w:rPr>
          <w:rFonts w:ascii="Verdana" w:hAnsi="Verdana" w:cs="Calibri"/>
          <w:b/>
        </w:rPr>
        <w:t xml:space="preserve"> Kč</w:t>
      </w:r>
    </w:p>
    <w:p w:rsidR="000E06A3" w:rsidRDefault="000E06A3" w:rsidP="000E06A3">
      <w:pPr>
        <w:tabs>
          <w:tab w:val="right" w:leader="dot" w:pos="7371"/>
        </w:tabs>
        <w:spacing w:before="120" w:after="120"/>
        <w:ind w:left="737"/>
        <w:jc w:val="both"/>
        <w:rPr>
          <w:rFonts w:eastAsia="Times New Roman" w:cs="Calibri"/>
          <w:lang w:eastAsia="cs-CZ"/>
        </w:rPr>
      </w:pPr>
      <w:r w:rsidRPr="00C11E4C">
        <w:rPr>
          <w:rFonts w:eastAsia="Times New Roman" w:cs="Calibri"/>
          <w:u w:val="single"/>
          <w:lang w:eastAsia="cs-CZ"/>
        </w:rPr>
        <w:t>Fakturace pro jednotl</w:t>
      </w:r>
      <w:r w:rsidR="00C11E4C" w:rsidRPr="00C11E4C">
        <w:rPr>
          <w:rFonts w:eastAsia="Times New Roman" w:cs="Calibri"/>
          <w:u w:val="single"/>
          <w:lang w:eastAsia="cs-CZ"/>
        </w:rPr>
        <w:t xml:space="preserve">ivé dílčí stavby souboru staveb </w:t>
      </w:r>
      <w:r w:rsidRPr="00C11E4C">
        <w:rPr>
          <w:rFonts w:eastAsia="Times New Roman" w:cs="Calibri"/>
          <w:u w:val="single"/>
          <w:lang w:eastAsia="cs-CZ"/>
        </w:rPr>
        <w:t>proběhne samostatně</w:t>
      </w:r>
      <w:r w:rsidRPr="00C11E4C">
        <w:rPr>
          <w:rFonts w:eastAsia="Times New Roman" w:cs="Calibri"/>
          <w:lang w:eastAsia="cs-CZ"/>
        </w:rPr>
        <w:t>.</w:t>
      </w: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lastRenderedPageBreak/>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lastRenderedPageBreak/>
        <w:t xml:space="preserve">Ukončení výkonu činnosti koordinátora BOZP při přípravě stavby: </w:t>
      </w:r>
    </w:p>
    <w:p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2D2FB4">
        <w:rPr>
          <w:rFonts w:ascii="Verdana" w:hAnsi="Verdana" w:cs="Arial"/>
        </w:rPr>
        <w:t>9</w:t>
      </w:r>
      <w:r w:rsidRPr="005C7EED">
        <w:rPr>
          <w:rFonts w:ascii="Verdana" w:hAnsi="Verdana" w:cs="Arial"/>
        </w:rPr>
        <w:t xml:space="preserve"> měsíců ode dne zahájení.</w:t>
      </w:r>
    </w:p>
    <w:p w:rsidR="009A324F" w:rsidRDefault="00F91101" w:rsidP="009A324F">
      <w:pPr>
        <w:pStyle w:val="Text1-2"/>
        <w:tabs>
          <w:tab w:val="clear" w:pos="1474"/>
        </w:tabs>
        <w:ind w:left="737"/>
      </w:pPr>
      <w:r w:rsidRPr="005C7EED">
        <w:t xml:space="preserve">Ukončení výkonu činnosti koordinátora BOZP při realizaci stavby: </w:t>
      </w:r>
    </w:p>
    <w:p w:rsidR="00F91101" w:rsidRPr="005C7EED" w:rsidRDefault="00F91101" w:rsidP="009A324F">
      <w:pPr>
        <w:pStyle w:val="Text1-2"/>
        <w:numPr>
          <w:ilvl w:val="0"/>
          <w:numId w:val="0"/>
        </w:numPr>
        <w:ind w:left="737"/>
      </w:pPr>
      <w:r w:rsidRPr="002D2FB4">
        <w:t xml:space="preserve">do </w:t>
      </w:r>
      <w:r w:rsidR="002D2FB4" w:rsidRPr="002D2FB4">
        <w:rPr>
          <w:rFonts w:cs="Arial"/>
        </w:rPr>
        <w:t xml:space="preserve">6 </w:t>
      </w:r>
      <w:r w:rsidRPr="002D2FB4">
        <w:t>měsíců</w:t>
      </w:r>
      <w:r w:rsidRPr="005C7EED">
        <w:t xml:space="preserve"> ode dne zahájení stavebních prací na předmětné stavbě, kdy je předpokládáno ukončení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lastRenderedPageBreak/>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kontroly, zejména postupy, </w:t>
      </w:r>
      <w:r w:rsidRPr="005C7EED">
        <w:lastRenderedPageBreak/>
        <w:t>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xml:space="preserve">. Nebude-li tato smlouva zaslána k uveřejnění a/nebo uveřejněna prostřednictvím registru smluv, není žádná ze smluvních stran oprávněna požadovat po </w:t>
      </w:r>
      <w:r w:rsidRPr="005C7EED">
        <w:rPr>
          <w:rFonts w:ascii="Verdana" w:hAnsi="Verdana"/>
          <w:sz w:val="18"/>
          <w:szCs w:val="18"/>
        </w:rPr>
        <w:lastRenderedPageBreak/>
        <w:t>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 xml:space="preserve">Ukončením účinnosti této smlouvy nejsou dotčena ustanovení smlouvy ve znění jejích příloh týkající se licencí, záruk, nároků z odpovědnosti za vady, nároky z odpovědnosti </w:t>
      </w:r>
      <w:r w:rsidRPr="005C7EED">
        <w:lastRenderedPageBreak/>
        <w:t>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BA6">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BA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97C13"/>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2FB4"/>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65BA6"/>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7A1A"/>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638E"/>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11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11E4C"/>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CF71B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56A27"/>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14D6EA"/>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4E073AC-3A7B-459B-8318-8E3989E26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13</Pages>
  <Words>6278</Words>
  <Characters>37045</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2019-03-12T14:16:00Z</cp:lastPrinted>
  <dcterms:created xsi:type="dcterms:W3CDTF">2021-03-17T06:14:00Z</dcterms:created>
  <dcterms:modified xsi:type="dcterms:W3CDTF">2021-03-19T15:06:00Z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