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648" w:rsidRDefault="00CB7648" w:rsidP="002B7A5E">
      <w:pPr>
        <w:pStyle w:val="Nzev"/>
      </w:pPr>
    </w:p>
    <w:p w:rsidR="00CB7648" w:rsidRPr="00CB7648" w:rsidRDefault="00CB7648" w:rsidP="002B7A5E">
      <w:pPr>
        <w:pStyle w:val="Nzev"/>
        <w:shd w:val="clear" w:color="auto" w:fill="FABF8F" w:themeFill="accent6" w:themeFillTint="99"/>
        <w:rPr>
          <w:rFonts w:cs="Verdana"/>
          <w:color w:val="000000"/>
          <w:highlight w:val="yellow"/>
        </w:rPr>
      </w:pPr>
      <w:r w:rsidRPr="002B7A5E">
        <w:rPr>
          <w:rFonts w:cs="Verdana"/>
          <w:color w:val="000000"/>
        </w:rPr>
        <w:t>Technická specifikace</w:t>
      </w:r>
      <w:r w:rsidR="002B7A5E">
        <w:rPr>
          <w:rFonts w:cs="Verdana"/>
          <w:color w:val="000000"/>
        </w:rPr>
        <w:t xml:space="preserve"> (technické podmínky)</w:t>
      </w:r>
    </w:p>
    <w:p w:rsidR="00736FC0" w:rsidRPr="00736FC0" w:rsidRDefault="00736FC0" w:rsidP="00CB7648">
      <w:pPr>
        <w:pStyle w:val="Nadpis2"/>
      </w:pPr>
      <w:r>
        <w:t xml:space="preserve">Název: </w:t>
      </w:r>
      <w:r w:rsidRPr="00736FC0">
        <w:rPr>
          <w:rFonts w:cs="Tahoma"/>
          <w:b w:val="0"/>
          <w:bCs w:val="0"/>
          <w:color w:val="000000"/>
          <w:sz w:val="19"/>
          <w:szCs w:val="19"/>
        </w:rPr>
        <w:t>Nakládka, odvoz, odstranění či využití dřevěných pražců - OŘ OVA 2021-2023</w:t>
      </w:r>
    </w:p>
    <w:p w:rsidR="00CB7648" w:rsidRPr="00CB7648" w:rsidRDefault="00CB7648" w:rsidP="00CB7648">
      <w:pPr>
        <w:pStyle w:val="Nadpis2"/>
      </w:pPr>
      <w:r w:rsidRPr="00CB7648">
        <w:t xml:space="preserve">Stručná specifikace služby (dílčích zakázek): </w:t>
      </w:r>
    </w:p>
    <w:p w:rsidR="00CB7648" w:rsidRDefault="00CB7648" w:rsidP="00CB7648">
      <w:pPr>
        <w:pStyle w:val="Odstavecseseznamem"/>
        <w:autoSpaceDE w:val="0"/>
        <w:autoSpaceDN w:val="0"/>
        <w:adjustRightInd w:val="0"/>
        <w:spacing w:after="0" w:line="240" w:lineRule="auto"/>
        <w:ind w:left="1152"/>
        <w:jc w:val="both"/>
        <w:rPr>
          <w:rFonts w:cs="Verdana"/>
          <w:color w:val="000000"/>
          <w:highlight w:val="yellow"/>
        </w:rPr>
      </w:pPr>
      <w:bookmarkStart w:id="0" w:name="_GoBack"/>
      <w:bookmarkEnd w:id="0"/>
    </w:p>
    <w:p w:rsidR="00CB7648" w:rsidRPr="002B7A5E" w:rsidRDefault="002B7A5E" w:rsidP="002B7A5E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cs="Verdana"/>
          <w:color w:val="000000"/>
        </w:rPr>
      </w:pPr>
      <w:r w:rsidRPr="002B7A5E">
        <w:rPr>
          <w:rFonts w:cs="Verdana"/>
          <w:color w:val="000000"/>
        </w:rPr>
        <w:t xml:space="preserve">Nakládka, odvoz, přeprava, </w:t>
      </w:r>
      <w:r w:rsidR="00962BEE">
        <w:rPr>
          <w:rFonts w:cs="Verdana"/>
          <w:color w:val="000000"/>
        </w:rPr>
        <w:t xml:space="preserve">a </w:t>
      </w:r>
      <w:r w:rsidRPr="002B7A5E">
        <w:rPr>
          <w:rFonts w:cs="Verdana"/>
          <w:color w:val="000000"/>
        </w:rPr>
        <w:t>ekologick</w:t>
      </w:r>
      <w:r w:rsidR="00962BEE">
        <w:rPr>
          <w:rFonts w:cs="Verdana"/>
          <w:color w:val="000000"/>
        </w:rPr>
        <w:t>é</w:t>
      </w:r>
      <w:r w:rsidRPr="002B7A5E">
        <w:rPr>
          <w:rFonts w:cs="Verdana"/>
          <w:color w:val="000000"/>
        </w:rPr>
        <w:t xml:space="preserve"> </w:t>
      </w:r>
      <w:r w:rsidR="00962BEE">
        <w:rPr>
          <w:rFonts w:cs="Verdana"/>
          <w:color w:val="000000"/>
        </w:rPr>
        <w:t>nakládání (</w:t>
      </w:r>
      <w:r w:rsidRPr="002B7A5E">
        <w:rPr>
          <w:rFonts w:cs="Verdana"/>
          <w:color w:val="000000"/>
        </w:rPr>
        <w:t>likvidace</w:t>
      </w:r>
      <w:r w:rsidR="00962BEE">
        <w:rPr>
          <w:rFonts w:cs="Verdana"/>
          <w:color w:val="000000"/>
        </w:rPr>
        <w:t>)</w:t>
      </w:r>
      <w:r w:rsidRPr="002B7A5E">
        <w:rPr>
          <w:rFonts w:cs="Verdana"/>
          <w:color w:val="000000"/>
        </w:rPr>
        <w:t xml:space="preserve"> dřevěných pražců zařazených dle platného Katalogu odpadů do kategorie nebezpečný odpad,</w:t>
      </w:r>
      <w:r>
        <w:rPr>
          <w:rFonts w:cs="Verdana"/>
          <w:color w:val="000000"/>
        </w:rPr>
        <w:t xml:space="preserve"> </w:t>
      </w:r>
      <w:r w:rsidRPr="002B7A5E">
        <w:rPr>
          <w:rFonts w:cs="Verdana"/>
          <w:color w:val="000000"/>
        </w:rPr>
        <w:t xml:space="preserve">a to v souladu s platnými právní předpisy na úseku odpadového hospodářství. </w:t>
      </w:r>
      <w:r>
        <w:rPr>
          <w:rFonts w:cs="Verdana"/>
          <w:color w:val="000000"/>
        </w:rPr>
        <w:t>Součástí služby je rovněž úklid místa po provedení nakládky</w:t>
      </w:r>
      <w:r w:rsidR="00F254D4">
        <w:rPr>
          <w:rFonts w:cs="Verdana"/>
          <w:color w:val="000000"/>
        </w:rPr>
        <w:t xml:space="preserve"> a </w:t>
      </w:r>
      <w:r w:rsidR="00F254D4" w:rsidRPr="00B60677">
        <w:rPr>
          <w:sz w:val="18"/>
          <w:szCs w:val="18"/>
        </w:rPr>
        <w:t>ohlašování přepravy nebezpečných odpadů</w:t>
      </w:r>
      <w:r w:rsidR="00F254D4">
        <w:rPr>
          <w:sz w:val="18"/>
          <w:szCs w:val="18"/>
        </w:rPr>
        <w:t xml:space="preserve">. </w:t>
      </w:r>
    </w:p>
    <w:p w:rsidR="00CB7648" w:rsidRDefault="00CB7648" w:rsidP="00CB7648">
      <w:pPr>
        <w:pStyle w:val="Nadpis2"/>
      </w:pPr>
      <w:r w:rsidRPr="00CB7648">
        <w:t xml:space="preserve">Označení nebezpečného odpadu: </w:t>
      </w:r>
    </w:p>
    <w:p w:rsidR="00CB7648" w:rsidRDefault="00CB7648" w:rsidP="00CB7648">
      <w:pPr>
        <w:pStyle w:val="Odstavecseseznamem"/>
        <w:autoSpaceDE w:val="0"/>
        <w:autoSpaceDN w:val="0"/>
        <w:adjustRightInd w:val="0"/>
        <w:spacing w:after="0" w:line="240" w:lineRule="auto"/>
        <w:ind w:left="1152"/>
        <w:jc w:val="both"/>
        <w:rPr>
          <w:rFonts w:cs="Verdana"/>
          <w:color w:val="000000"/>
          <w:highlight w:val="yellow"/>
        </w:rPr>
      </w:pPr>
    </w:p>
    <w:p w:rsidR="00CB7648" w:rsidRPr="002B7A5E" w:rsidRDefault="00CB7648" w:rsidP="002B7A5E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  <w:r w:rsidRPr="002B7A5E">
        <w:rPr>
          <w:rFonts w:cs="Verdana"/>
          <w:color w:val="000000"/>
        </w:rPr>
        <w:t xml:space="preserve">Dřevěné železniční pražce k odstranění </w:t>
      </w:r>
      <w:r w:rsidR="002B7A5E" w:rsidRPr="002B7A5E">
        <w:rPr>
          <w:rFonts w:cs="Verdana"/>
          <w:color w:val="000000"/>
        </w:rPr>
        <w:t>– klasifikováno jako</w:t>
      </w:r>
      <w:r w:rsidRPr="002B7A5E">
        <w:rPr>
          <w:rFonts w:cs="Verdana"/>
          <w:color w:val="000000"/>
        </w:rPr>
        <w:t xml:space="preserve"> nebezpečný odpad</w:t>
      </w:r>
      <w:r w:rsidR="002B7A5E" w:rsidRPr="002B7A5E">
        <w:rPr>
          <w:rFonts w:cs="Verdana"/>
          <w:color w:val="000000"/>
        </w:rPr>
        <w:t xml:space="preserve">. </w:t>
      </w:r>
      <w:r w:rsidRPr="002B7A5E">
        <w:rPr>
          <w:rFonts w:cs="Verdana"/>
          <w:color w:val="000000"/>
        </w:rPr>
        <w:t>Jedná se o pražce odpadní, nepoužitelné k původnímu účelu</w:t>
      </w:r>
      <w:r w:rsidR="001C382F">
        <w:rPr>
          <w:rFonts w:cs="Verdana"/>
          <w:color w:val="000000"/>
        </w:rPr>
        <w:t xml:space="preserve"> (v různém stadiu rozkladu/celistvosti).</w:t>
      </w:r>
    </w:p>
    <w:p w:rsidR="002B7A5E" w:rsidRPr="002B7A5E" w:rsidRDefault="002B7A5E" w:rsidP="002B7A5E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</w:p>
    <w:p w:rsidR="00CB7648" w:rsidRPr="002B7A5E" w:rsidRDefault="00CB7648" w:rsidP="002B7A5E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  <w:r w:rsidRPr="002B7A5E">
        <w:rPr>
          <w:rFonts w:cs="Verdana"/>
          <w:color w:val="000000"/>
        </w:rPr>
        <w:t>Katalogové číslo odpadu</w:t>
      </w:r>
      <w:r w:rsidR="002B7A5E" w:rsidRPr="002B7A5E">
        <w:rPr>
          <w:rFonts w:cs="Verdana"/>
          <w:color w:val="000000"/>
        </w:rPr>
        <w:t xml:space="preserve">: </w:t>
      </w:r>
      <w:r w:rsidRPr="002B7A5E">
        <w:rPr>
          <w:rFonts w:cs="Verdana"/>
          <w:color w:val="000000"/>
        </w:rPr>
        <w:t>17 02 04 - sklo, plasty a dřevo obsahující nebezpečné látky nebo nebezpečnými látkami znečištěné.</w:t>
      </w:r>
    </w:p>
    <w:p w:rsidR="00CB7648" w:rsidRDefault="00CB7648" w:rsidP="00CB7648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  <w:highlight w:val="yellow"/>
        </w:rPr>
      </w:pPr>
    </w:p>
    <w:p w:rsidR="00CB7648" w:rsidRPr="00CB7648" w:rsidRDefault="00CB7648" w:rsidP="00CB7648">
      <w:pPr>
        <w:pStyle w:val="Nadpis2"/>
      </w:pPr>
      <w:r w:rsidRPr="00CB7648">
        <w:t xml:space="preserve">Předpokládané objemy s rozdělením na jednotlivé tratové okrsky v rámci obvodu Oblastního ředitelství Ostrava: </w:t>
      </w:r>
    </w:p>
    <w:p w:rsidR="00CB7648" w:rsidRDefault="00CB7648" w:rsidP="00CB7648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  <w:highlight w:val="yellow"/>
        </w:rPr>
      </w:pPr>
    </w:p>
    <w:tbl>
      <w:tblPr>
        <w:tblW w:w="11591" w:type="dxa"/>
        <w:tblInd w:w="2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4"/>
        <w:gridCol w:w="1475"/>
        <w:gridCol w:w="2872"/>
        <w:gridCol w:w="1240"/>
        <w:gridCol w:w="4020"/>
      </w:tblGrid>
      <w:tr w:rsidR="00CB7648" w:rsidRPr="00CB7648" w:rsidTr="001C382F">
        <w:trPr>
          <w:gridAfter w:val="2"/>
          <w:wAfter w:w="5260" w:type="dxa"/>
          <w:trHeight w:val="315"/>
        </w:trPr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648" w:rsidRPr="00CB7648" w:rsidRDefault="00CB7648" w:rsidP="00CB764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</w:pPr>
            <w:r w:rsidRPr="00CB7648"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7648" w:rsidRPr="00CB7648" w:rsidRDefault="00CB7648" w:rsidP="001C382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C382F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Množství </w:t>
            </w:r>
            <w:r w:rsidR="001C382F" w:rsidRPr="001C382F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cs-CZ"/>
              </w:rPr>
              <w:t>MJ (tuna)</w:t>
            </w:r>
            <w:r w:rsidRPr="001C382F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7648" w:rsidRPr="001C382F" w:rsidRDefault="00CB7648" w:rsidP="00CB76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B7648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cs-CZ"/>
              </w:rPr>
              <w:t>Provozní středisko</w:t>
            </w:r>
          </w:p>
          <w:p w:rsidR="00CB7648" w:rsidRPr="00CB7648" w:rsidRDefault="00CB7648" w:rsidP="00CB76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C382F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cs-CZ"/>
              </w:rPr>
              <w:t>(obvod TO = místo uložení)</w:t>
            </w:r>
          </w:p>
        </w:tc>
      </w:tr>
      <w:tr w:rsidR="00CB7648" w:rsidRPr="00CB7648" w:rsidTr="001C382F">
        <w:trPr>
          <w:gridAfter w:val="2"/>
          <w:wAfter w:w="5260" w:type="dxa"/>
          <w:trHeight w:val="300"/>
        </w:trPr>
        <w:tc>
          <w:tcPr>
            <w:tcW w:w="1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648" w:rsidRPr="00CB7648" w:rsidRDefault="00CB7648" w:rsidP="00CB764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</w:pPr>
            <w:r w:rsidRPr="00CB7648"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7648" w:rsidRPr="00CB7648" w:rsidRDefault="00CB7648" w:rsidP="00CB76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CB7648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110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7648" w:rsidRPr="00CB7648" w:rsidRDefault="00CB7648" w:rsidP="00CB764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CB7648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TO Bruntál</w:t>
            </w:r>
          </w:p>
        </w:tc>
      </w:tr>
      <w:tr w:rsidR="00CB7648" w:rsidRPr="00CB7648" w:rsidTr="001C382F">
        <w:trPr>
          <w:gridAfter w:val="2"/>
          <w:wAfter w:w="5260" w:type="dxa"/>
          <w:trHeight w:val="300"/>
        </w:trPr>
        <w:tc>
          <w:tcPr>
            <w:tcW w:w="1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648" w:rsidRPr="00CB7648" w:rsidRDefault="00CB7648" w:rsidP="00CB764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</w:pPr>
            <w:r w:rsidRPr="00CB7648"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7648" w:rsidRPr="00CB7648" w:rsidRDefault="00CB7648" w:rsidP="00CB76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CB7648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110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7648" w:rsidRPr="00CB7648" w:rsidRDefault="00CB7648" w:rsidP="00CB764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CB7648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TO Krnov</w:t>
            </w:r>
          </w:p>
        </w:tc>
      </w:tr>
      <w:tr w:rsidR="00CB7648" w:rsidRPr="00CB7648" w:rsidTr="001C382F">
        <w:trPr>
          <w:gridAfter w:val="2"/>
          <w:wAfter w:w="5260" w:type="dxa"/>
          <w:trHeight w:val="300"/>
        </w:trPr>
        <w:tc>
          <w:tcPr>
            <w:tcW w:w="1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648" w:rsidRPr="00CB7648" w:rsidRDefault="00CB7648" w:rsidP="00CB764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</w:pPr>
            <w:r w:rsidRPr="00CB7648"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7648" w:rsidRPr="00CB7648" w:rsidRDefault="00CB7648" w:rsidP="00CB76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CB7648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160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7648" w:rsidRPr="00CB7648" w:rsidRDefault="00CB7648" w:rsidP="00CB764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CB7648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TO Opava</w:t>
            </w:r>
          </w:p>
        </w:tc>
      </w:tr>
      <w:tr w:rsidR="00CB7648" w:rsidRPr="00CB7648" w:rsidTr="001C382F">
        <w:trPr>
          <w:gridAfter w:val="2"/>
          <w:wAfter w:w="5260" w:type="dxa"/>
          <w:trHeight w:val="300"/>
        </w:trPr>
        <w:tc>
          <w:tcPr>
            <w:tcW w:w="1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648" w:rsidRPr="00CB7648" w:rsidRDefault="00CB7648" w:rsidP="00CB764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</w:pPr>
            <w:r w:rsidRPr="00CB7648"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7648" w:rsidRPr="00CB7648" w:rsidRDefault="00CB7648" w:rsidP="00CB76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CB7648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1028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7648" w:rsidRPr="00CB7648" w:rsidRDefault="00CB7648" w:rsidP="00CB764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CB7648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TO Ostrava</w:t>
            </w:r>
          </w:p>
        </w:tc>
      </w:tr>
      <w:tr w:rsidR="00CB7648" w:rsidRPr="00CB7648" w:rsidTr="001C382F">
        <w:trPr>
          <w:gridAfter w:val="2"/>
          <w:wAfter w:w="5260" w:type="dxa"/>
          <w:trHeight w:val="300"/>
        </w:trPr>
        <w:tc>
          <w:tcPr>
            <w:tcW w:w="1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648" w:rsidRPr="00CB7648" w:rsidRDefault="00CB7648" w:rsidP="00CB764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</w:pPr>
            <w:r w:rsidRPr="00CB7648"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7648" w:rsidRPr="00CB7648" w:rsidRDefault="00CB7648" w:rsidP="00CB76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CB7648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160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7648" w:rsidRPr="00CB7648" w:rsidRDefault="00CB7648" w:rsidP="00CB764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CB7648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TO Ostrava Svinov</w:t>
            </w:r>
          </w:p>
        </w:tc>
      </w:tr>
      <w:tr w:rsidR="00CB7648" w:rsidRPr="00CB7648" w:rsidTr="001C382F">
        <w:trPr>
          <w:gridAfter w:val="2"/>
          <w:wAfter w:w="5260" w:type="dxa"/>
          <w:trHeight w:val="300"/>
        </w:trPr>
        <w:tc>
          <w:tcPr>
            <w:tcW w:w="1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648" w:rsidRPr="00CB7648" w:rsidRDefault="00CB7648" w:rsidP="00CB76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B764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>ST Ostrava</w:t>
            </w:r>
          </w:p>
        </w:tc>
        <w:tc>
          <w:tcPr>
            <w:tcW w:w="14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7648" w:rsidRPr="00CB7648" w:rsidRDefault="00CB7648" w:rsidP="00CB76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CB7648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50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7648" w:rsidRPr="00CB7648" w:rsidRDefault="00CB7648" w:rsidP="00CB764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CB7648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TO Studénka</w:t>
            </w:r>
          </w:p>
        </w:tc>
      </w:tr>
      <w:tr w:rsidR="00CB7648" w:rsidRPr="00CB7648" w:rsidTr="001C382F">
        <w:trPr>
          <w:gridAfter w:val="2"/>
          <w:wAfter w:w="5260" w:type="dxa"/>
          <w:trHeight w:val="300"/>
        </w:trPr>
        <w:tc>
          <w:tcPr>
            <w:tcW w:w="1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648" w:rsidRPr="00CB7648" w:rsidRDefault="00CB7648" w:rsidP="00CB764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</w:pPr>
            <w:r w:rsidRPr="00CB7648"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7648" w:rsidRPr="00CB7648" w:rsidRDefault="00CB7648" w:rsidP="00CB76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CB7648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100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7648" w:rsidRPr="00CB7648" w:rsidRDefault="00CB7648" w:rsidP="00CB764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CB7648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TO Suchdol nad Odrou</w:t>
            </w:r>
          </w:p>
        </w:tc>
      </w:tr>
      <w:tr w:rsidR="00CB7648" w:rsidRPr="00CB7648" w:rsidTr="001C382F">
        <w:trPr>
          <w:gridAfter w:val="2"/>
          <w:wAfter w:w="5260" w:type="dxa"/>
          <w:trHeight w:val="300"/>
        </w:trPr>
        <w:tc>
          <w:tcPr>
            <w:tcW w:w="1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648" w:rsidRPr="00CB7648" w:rsidRDefault="00CB7648" w:rsidP="00CB764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</w:pPr>
            <w:r w:rsidRPr="00CB7648"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7648" w:rsidRPr="00CB7648" w:rsidRDefault="00CB7648" w:rsidP="00CB76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CB7648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100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7648" w:rsidRPr="00CB7648" w:rsidRDefault="00CB7648" w:rsidP="00CB764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CB7648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TO Karviná</w:t>
            </w:r>
          </w:p>
        </w:tc>
      </w:tr>
      <w:tr w:rsidR="00CB7648" w:rsidRPr="00CB7648" w:rsidTr="001C382F">
        <w:trPr>
          <w:gridAfter w:val="2"/>
          <w:wAfter w:w="5260" w:type="dxa"/>
          <w:trHeight w:val="300"/>
        </w:trPr>
        <w:tc>
          <w:tcPr>
            <w:tcW w:w="1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648" w:rsidRPr="00CB7648" w:rsidRDefault="00CB7648" w:rsidP="00CB764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</w:pPr>
            <w:r w:rsidRPr="00CB7648"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7648" w:rsidRPr="00CB7648" w:rsidRDefault="00CB7648" w:rsidP="00CB76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CB7648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70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7648" w:rsidRPr="00CB7648" w:rsidRDefault="00CB7648" w:rsidP="00CB764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CB7648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TO Frenštát pod Radhoštěm</w:t>
            </w:r>
          </w:p>
        </w:tc>
      </w:tr>
      <w:tr w:rsidR="00CB7648" w:rsidRPr="00CB7648" w:rsidTr="001C382F">
        <w:trPr>
          <w:gridAfter w:val="2"/>
          <w:wAfter w:w="5260" w:type="dxa"/>
          <w:trHeight w:val="300"/>
        </w:trPr>
        <w:tc>
          <w:tcPr>
            <w:tcW w:w="1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648" w:rsidRPr="00CB7648" w:rsidRDefault="00CB7648" w:rsidP="00CB764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</w:pPr>
            <w:r w:rsidRPr="00CB7648"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7648" w:rsidRPr="00CB7648" w:rsidRDefault="00861378" w:rsidP="00CB76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62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7648" w:rsidRPr="00CB7648" w:rsidRDefault="00CB7648" w:rsidP="00CB764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CB7648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TO Bohumín</w:t>
            </w:r>
          </w:p>
        </w:tc>
      </w:tr>
      <w:tr w:rsidR="00CB7648" w:rsidRPr="00CB7648" w:rsidTr="001C382F">
        <w:trPr>
          <w:gridAfter w:val="2"/>
          <w:wAfter w:w="5260" w:type="dxa"/>
          <w:trHeight w:val="300"/>
        </w:trPr>
        <w:tc>
          <w:tcPr>
            <w:tcW w:w="1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648" w:rsidRPr="00CB7648" w:rsidRDefault="00CB7648" w:rsidP="00CB764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</w:pPr>
            <w:r w:rsidRPr="00CB7648"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7648" w:rsidRPr="00CB7648" w:rsidRDefault="00CB7648" w:rsidP="00CB76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CB7648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40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7648" w:rsidRPr="00CB7648" w:rsidRDefault="00CB7648" w:rsidP="00CB764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CB7648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TO Český Těšín</w:t>
            </w:r>
          </w:p>
        </w:tc>
      </w:tr>
      <w:tr w:rsidR="00CB7648" w:rsidRPr="00CB7648" w:rsidTr="001C382F">
        <w:trPr>
          <w:gridAfter w:val="2"/>
          <w:wAfter w:w="5260" w:type="dxa"/>
          <w:trHeight w:val="300"/>
        </w:trPr>
        <w:tc>
          <w:tcPr>
            <w:tcW w:w="1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648" w:rsidRPr="00CB7648" w:rsidRDefault="00CB7648" w:rsidP="00CB764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</w:pPr>
            <w:r w:rsidRPr="00CB7648"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7648" w:rsidRPr="00CB7648" w:rsidRDefault="00CB7648" w:rsidP="00CB76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CB7648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20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7648" w:rsidRPr="00CB7648" w:rsidRDefault="00CB7648" w:rsidP="00CB764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CB7648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TO Jablunkov</w:t>
            </w:r>
          </w:p>
        </w:tc>
      </w:tr>
      <w:tr w:rsidR="00CB7648" w:rsidRPr="00CB7648" w:rsidTr="001C382F">
        <w:trPr>
          <w:gridAfter w:val="2"/>
          <w:wAfter w:w="5260" w:type="dxa"/>
          <w:trHeight w:val="300"/>
        </w:trPr>
        <w:tc>
          <w:tcPr>
            <w:tcW w:w="1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648" w:rsidRPr="00CB7648" w:rsidRDefault="00CB7648" w:rsidP="00CB764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</w:pPr>
            <w:r w:rsidRPr="00CB7648"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7648" w:rsidRPr="00CB7648" w:rsidRDefault="00CB7648" w:rsidP="00CB76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CB7648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7648" w:rsidRPr="00CB7648" w:rsidRDefault="00CB7648" w:rsidP="00CB764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CB7648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TO Havířov</w:t>
            </w:r>
          </w:p>
        </w:tc>
      </w:tr>
      <w:tr w:rsidR="00CB7648" w:rsidRPr="00CB7648" w:rsidTr="001C382F">
        <w:trPr>
          <w:gridAfter w:val="2"/>
          <w:wAfter w:w="5260" w:type="dxa"/>
          <w:trHeight w:val="315"/>
        </w:trPr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648" w:rsidRPr="00CB7648" w:rsidRDefault="00CB7648" w:rsidP="00CB764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</w:pPr>
            <w:r w:rsidRPr="00CB7648"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7648" w:rsidRPr="00CB7648" w:rsidRDefault="00CB7648" w:rsidP="00CB76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CB7648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60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7648" w:rsidRPr="00CB7648" w:rsidRDefault="00CB7648" w:rsidP="00CB764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CB7648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TO Frýdek-Místek</w:t>
            </w:r>
          </w:p>
        </w:tc>
      </w:tr>
      <w:tr w:rsidR="00CB7648" w:rsidRPr="00CB7648" w:rsidTr="001C382F">
        <w:trPr>
          <w:gridAfter w:val="2"/>
          <w:wAfter w:w="5260" w:type="dxa"/>
          <w:trHeight w:val="315"/>
        </w:trPr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7648" w:rsidRPr="00CB7648" w:rsidRDefault="00CB7648" w:rsidP="00CB764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</w:pPr>
            <w:r w:rsidRPr="002B7A5E"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  <w:t>C</w:t>
            </w:r>
            <w:r w:rsidRPr="00CB7648"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  <w:t>elkem</w:t>
            </w:r>
            <w:r w:rsidRPr="002B7A5E">
              <w:rPr>
                <w:rFonts w:eastAsia="Times New Roman" w:cs="Calibri"/>
                <w:color w:val="000000"/>
                <w:sz w:val="18"/>
                <w:szCs w:val="18"/>
                <w:lang w:eastAsia="cs-CZ"/>
              </w:rPr>
              <w:t xml:space="preserve"> předpoklad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648" w:rsidRPr="00CB7648" w:rsidRDefault="00CB7648" w:rsidP="00861378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cs-CZ"/>
              </w:rPr>
            </w:pPr>
            <w:r w:rsidRPr="00CB7648">
              <w:rPr>
                <w:rFonts w:eastAsia="Times New Roman" w:cs="Calibri"/>
                <w:b/>
                <w:color w:val="000000"/>
                <w:sz w:val="16"/>
                <w:szCs w:val="16"/>
                <w:lang w:eastAsia="cs-CZ"/>
              </w:rPr>
              <w:t>21</w:t>
            </w:r>
            <w:r w:rsidR="00861378">
              <w:rPr>
                <w:rFonts w:eastAsia="Times New Roman" w:cs="Calibri"/>
                <w:b/>
                <w:color w:val="000000"/>
                <w:sz w:val="16"/>
                <w:szCs w:val="16"/>
                <w:lang w:eastAsia="cs-CZ"/>
              </w:rPr>
              <w:t>00</w:t>
            </w:r>
            <w:r w:rsidRPr="00CB7648">
              <w:rPr>
                <w:rFonts w:eastAsia="Times New Roman" w:cs="Calibri"/>
                <w:b/>
                <w:color w:val="000000"/>
                <w:sz w:val="16"/>
                <w:szCs w:val="16"/>
                <w:lang w:eastAsia="cs-CZ"/>
              </w:rPr>
              <w:t>,00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7648" w:rsidRPr="00CB7648" w:rsidRDefault="00CB7648" w:rsidP="00CB7648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6"/>
                <w:szCs w:val="16"/>
                <w:lang w:eastAsia="cs-CZ"/>
              </w:rPr>
            </w:pPr>
            <w:r w:rsidRPr="00CB7648">
              <w:rPr>
                <w:rFonts w:eastAsia="Times New Roman" w:cs="Calibri"/>
                <w:b/>
                <w:color w:val="000000"/>
                <w:sz w:val="16"/>
                <w:szCs w:val="16"/>
                <w:lang w:eastAsia="cs-CZ"/>
              </w:rPr>
              <w:t>tun</w:t>
            </w:r>
          </w:p>
        </w:tc>
      </w:tr>
      <w:tr w:rsidR="002B7A5E" w:rsidRPr="002B7A5E" w:rsidTr="001C382F">
        <w:trPr>
          <w:trHeight w:val="360"/>
        </w:trPr>
        <w:tc>
          <w:tcPr>
            <w:tcW w:w="6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A5E" w:rsidRPr="002B7A5E" w:rsidRDefault="002B7A5E" w:rsidP="002B7A5E">
            <w:pPr>
              <w:spacing w:after="0" w:line="240" w:lineRule="auto"/>
              <w:rPr>
                <w:rFonts w:cs="Verdana"/>
                <w:color w:val="000000"/>
                <w:sz w:val="16"/>
                <w:szCs w:val="16"/>
              </w:rPr>
            </w:pPr>
            <w:r w:rsidRPr="002B7A5E">
              <w:rPr>
                <w:rFonts w:cs="Verdana"/>
                <w:color w:val="000000"/>
                <w:sz w:val="16"/>
                <w:szCs w:val="16"/>
              </w:rPr>
              <w:t xml:space="preserve">Přepočet tun vychází z následující kalkulace: </w:t>
            </w:r>
          </w:p>
          <w:p w:rsidR="002B7A5E" w:rsidRPr="002B7A5E" w:rsidRDefault="002B7A5E" w:rsidP="002B7A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2B7A5E">
              <w:rPr>
                <w:rFonts w:eastAsia="Times New Roman" w:cs="Times New Roman"/>
                <w:sz w:val="16"/>
                <w:szCs w:val="16"/>
                <w:lang w:eastAsia="cs-CZ"/>
              </w:rPr>
              <w:t>1 m3  =  cca 10 ks (1 ks = 0,101 m</w:t>
            </w:r>
            <w:r w:rsidRPr="002B7A5E">
              <w:rPr>
                <w:rFonts w:eastAsia="Times New Roman" w:cs="Times New Roman"/>
                <w:sz w:val="16"/>
                <w:szCs w:val="16"/>
                <w:vertAlign w:val="superscript"/>
                <w:lang w:eastAsia="cs-CZ"/>
              </w:rPr>
              <w:t>3)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A5E" w:rsidRPr="002B7A5E" w:rsidRDefault="002B7A5E" w:rsidP="002B7A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A5E" w:rsidRPr="002B7A5E" w:rsidRDefault="002B7A5E" w:rsidP="002B7A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2B7A5E" w:rsidRPr="002B7A5E" w:rsidTr="001C382F">
        <w:trPr>
          <w:trHeight w:val="300"/>
        </w:trPr>
        <w:tc>
          <w:tcPr>
            <w:tcW w:w="115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A5E" w:rsidRPr="002B7A5E" w:rsidRDefault="002B7A5E" w:rsidP="002B7A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2B7A5E">
              <w:rPr>
                <w:rFonts w:eastAsia="Times New Roman" w:cs="Times New Roman"/>
                <w:sz w:val="16"/>
                <w:szCs w:val="16"/>
                <w:lang w:eastAsia="cs-CZ"/>
              </w:rPr>
              <w:t>1ks = cca 0,07 t    (hodnota je ovlivněna druhem použitého dřeva pražců a stádiem jejich rozpadu)</w:t>
            </w:r>
          </w:p>
        </w:tc>
      </w:tr>
    </w:tbl>
    <w:p w:rsidR="00CB7648" w:rsidRPr="002B7A5E" w:rsidRDefault="001C382F" w:rsidP="00CB7648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  <w:sz w:val="16"/>
          <w:szCs w:val="16"/>
          <w:highlight w:val="yellow"/>
        </w:rPr>
      </w:pPr>
      <w:r>
        <w:rPr>
          <w:rFonts w:cs="Verdana"/>
          <w:color w:val="000000"/>
          <w:sz w:val="16"/>
          <w:szCs w:val="16"/>
        </w:rPr>
        <w:lastRenderedPageBreak/>
        <w:t xml:space="preserve">    </w:t>
      </w:r>
      <w:r w:rsidR="00861378">
        <w:rPr>
          <w:rFonts w:cs="Verdana"/>
          <w:color w:val="000000"/>
          <w:sz w:val="16"/>
          <w:szCs w:val="16"/>
        </w:rPr>
        <w:t xml:space="preserve">  </w:t>
      </w:r>
      <w:r w:rsidRPr="001C382F">
        <w:rPr>
          <w:rFonts w:cs="Verdana"/>
          <w:color w:val="000000"/>
          <w:sz w:val="16"/>
          <w:szCs w:val="16"/>
        </w:rPr>
        <w:t>Pro orientaci - měrná hmotnost dřeva:  dub, buk  cca 680 kg/ m3</w:t>
      </w:r>
    </w:p>
    <w:p w:rsidR="00CB7648" w:rsidRDefault="00CB7648" w:rsidP="00CB7648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  <w:highlight w:val="yellow"/>
        </w:rPr>
      </w:pPr>
    </w:p>
    <w:p w:rsidR="00CB7648" w:rsidRDefault="00CB7648" w:rsidP="00CB7648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  <w:highlight w:val="yellow"/>
        </w:rPr>
      </w:pPr>
    </w:p>
    <w:p w:rsidR="00861378" w:rsidRDefault="00861378" w:rsidP="00861378">
      <w:pPr>
        <w:pStyle w:val="Nadpis2"/>
        <w:spacing w:after="240"/>
      </w:pPr>
      <w:r>
        <w:t xml:space="preserve">Závaznost </w:t>
      </w:r>
      <w:r w:rsidR="00996381">
        <w:t xml:space="preserve">denního </w:t>
      </w:r>
      <w:r>
        <w:t xml:space="preserve">objemu v rámci plnění dle dílčí smlouvy: </w:t>
      </w:r>
    </w:p>
    <w:p w:rsidR="00861378" w:rsidRPr="0045380D" w:rsidRDefault="00996381" w:rsidP="00861378">
      <w:pPr>
        <w:pStyle w:val="Zkladntext4"/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Požadavek zadavatele na odvoz nebezpečného odpadu z místa uložiště v okamžiku zadání dílčí zakázky: </w:t>
      </w:r>
      <w:r w:rsidR="00861378" w:rsidRPr="00996381">
        <w:rPr>
          <w:rFonts w:ascii="Verdana" w:hAnsi="Verdana"/>
          <w:b/>
          <w:sz w:val="20"/>
          <w:szCs w:val="20"/>
        </w:rPr>
        <w:t>min</w:t>
      </w:r>
      <w:r w:rsidRPr="00996381">
        <w:rPr>
          <w:rFonts w:ascii="Verdana" w:hAnsi="Verdana"/>
          <w:b/>
          <w:sz w:val="20"/>
          <w:szCs w:val="20"/>
        </w:rPr>
        <w:t>imálně</w:t>
      </w:r>
      <w:r w:rsidR="00861378" w:rsidRPr="00996381">
        <w:rPr>
          <w:rFonts w:ascii="Verdana" w:hAnsi="Verdana"/>
          <w:b/>
          <w:sz w:val="20"/>
          <w:szCs w:val="20"/>
        </w:rPr>
        <w:t xml:space="preserve"> 10t/den</w:t>
      </w:r>
      <w:r w:rsidR="00861378">
        <w:rPr>
          <w:rFonts w:ascii="Verdana" w:hAnsi="Verdana"/>
          <w:sz w:val="20"/>
          <w:szCs w:val="20"/>
        </w:rPr>
        <w:t xml:space="preserve"> (bez ohledu na počet odvozů za tento den, který je závislý na technickém vybavení dodavatele)</w:t>
      </w:r>
      <w:r w:rsidR="00861378" w:rsidRPr="0045380D">
        <w:rPr>
          <w:rFonts w:ascii="Verdana" w:hAnsi="Verdana"/>
          <w:sz w:val="20"/>
          <w:szCs w:val="20"/>
        </w:rPr>
        <w:t>. Doba plnění nastavená v dílčích smlouvách</w:t>
      </w:r>
      <w:r w:rsidR="00861378">
        <w:rPr>
          <w:rFonts w:ascii="Verdana" w:hAnsi="Verdana"/>
          <w:sz w:val="20"/>
          <w:szCs w:val="20"/>
        </w:rPr>
        <w:t xml:space="preserve"> zadavatelem</w:t>
      </w:r>
      <w:r w:rsidR="00861378" w:rsidRPr="0045380D">
        <w:rPr>
          <w:rFonts w:ascii="Verdana" w:hAnsi="Verdana"/>
          <w:sz w:val="20"/>
          <w:szCs w:val="20"/>
        </w:rPr>
        <w:t xml:space="preserve"> tak bude zohledňovat závazek </w:t>
      </w:r>
      <w:r w:rsidR="00861378">
        <w:rPr>
          <w:rFonts w:ascii="Verdana" w:hAnsi="Verdana"/>
          <w:sz w:val="20"/>
          <w:szCs w:val="20"/>
        </w:rPr>
        <w:t>dodavatele</w:t>
      </w:r>
      <w:r w:rsidR="00861378" w:rsidRPr="0045380D">
        <w:rPr>
          <w:rFonts w:ascii="Verdana" w:hAnsi="Verdana"/>
          <w:sz w:val="20"/>
          <w:szCs w:val="20"/>
        </w:rPr>
        <w:t xml:space="preserve"> </w:t>
      </w:r>
      <w:r w:rsidR="00861378">
        <w:rPr>
          <w:rFonts w:ascii="Verdana" w:hAnsi="Verdana"/>
          <w:sz w:val="20"/>
          <w:szCs w:val="20"/>
        </w:rPr>
        <w:t>dle předchozí věty</w:t>
      </w:r>
      <w:r>
        <w:rPr>
          <w:rFonts w:ascii="Verdana" w:hAnsi="Verdana"/>
          <w:sz w:val="20"/>
          <w:szCs w:val="20"/>
        </w:rPr>
        <w:t xml:space="preserve"> v závislosti na požadovaném počtu MJ nebezpečného odpadu</w:t>
      </w:r>
      <w:r w:rsidR="00861378">
        <w:rPr>
          <w:rFonts w:ascii="Verdana" w:hAnsi="Verdana"/>
          <w:sz w:val="20"/>
          <w:szCs w:val="20"/>
        </w:rPr>
        <w:t xml:space="preserve">. </w:t>
      </w:r>
    </w:p>
    <w:p w:rsidR="00CB7648" w:rsidRDefault="001C382F" w:rsidP="00861378">
      <w:pPr>
        <w:pStyle w:val="Nadpis2"/>
        <w:spacing w:after="240"/>
      </w:pPr>
      <w:r w:rsidRPr="001C382F">
        <w:t xml:space="preserve">Místo plnění: </w:t>
      </w:r>
    </w:p>
    <w:p w:rsidR="001C382F" w:rsidRDefault="001C382F" w:rsidP="001C382F">
      <w:r>
        <w:t xml:space="preserve">Obvod Oblastního ředitelství Ostrava, v členění po jednotlivých TO. </w:t>
      </w:r>
    </w:p>
    <w:p w:rsidR="001C382F" w:rsidRDefault="001C382F" w:rsidP="001C382F">
      <w:r>
        <w:t xml:space="preserve">Místo plnění = </w:t>
      </w:r>
      <w:r w:rsidRPr="0077024C">
        <w:t>místo předání pražců zhotoviteli k nakládce a odvozu</w:t>
      </w:r>
      <w:r>
        <w:t xml:space="preserve">, určení v dílčích smlouvách. </w:t>
      </w:r>
    </w:p>
    <w:p w:rsidR="001C382F" w:rsidRDefault="001C382F" w:rsidP="001C382F">
      <w:pPr>
        <w:pStyle w:val="Nadpis2"/>
      </w:pPr>
      <w:r>
        <w:t>Další podmínky v rámci realizace díla (poskytování služby)</w:t>
      </w:r>
      <w:r w:rsidR="00962BEE">
        <w:t xml:space="preserve"> či dodržování technických podmínek</w:t>
      </w:r>
      <w:r w:rsidR="00857A77">
        <w:t>, předpisová základna</w:t>
      </w:r>
      <w:r>
        <w:t xml:space="preserve">: </w:t>
      </w:r>
    </w:p>
    <w:p w:rsidR="00857A77" w:rsidRPr="00464D9E" w:rsidRDefault="00857A77" w:rsidP="00857A77">
      <w:pPr>
        <w:pStyle w:val="Odstavecseseznamem"/>
        <w:spacing w:before="120" w:after="0"/>
        <w:ind w:left="714"/>
        <w:contextualSpacing w:val="0"/>
        <w:jc w:val="both"/>
        <w:rPr>
          <w:b/>
          <w:szCs w:val="20"/>
        </w:rPr>
      </w:pPr>
      <w:r w:rsidRPr="00464D9E">
        <w:rPr>
          <w:b/>
          <w:szCs w:val="20"/>
        </w:rPr>
        <w:t xml:space="preserve">Povinnosti dodavatele (součást poskytování služby): </w:t>
      </w:r>
    </w:p>
    <w:p w:rsidR="00861378" w:rsidRPr="00464D9E" w:rsidRDefault="00861378" w:rsidP="001C382F">
      <w:pPr>
        <w:pStyle w:val="Odstavecseseznamem"/>
        <w:numPr>
          <w:ilvl w:val="0"/>
          <w:numId w:val="4"/>
        </w:numPr>
        <w:spacing w:before="120" w:after="0"/>
        <w:ind w:left="714" w:hanging="357"/>
        <w:contextualSpacing w:val="0"/>
        <w:jc w:val="both"/>
        <w:rPr>
          <w:szCs w:val="20"/>
        </w:rPr>
      </w:pPr>
      <w:r w:rsidRPr="00464D9E">
        <w:rPr>
          <w:szCs w:val="20"/>
        </w:rPr>
        <w:t>V rámci uzavřené dílčí zakázky musí minimální množství odvezeného nebezpečného odpadu činit 10t/den</w:t>
      </w:r>
    </w:p>
    <w:p w:rsidR="00857A77" w:rsidRPr="00464D9E" w:rsidRDefault="00857A77" w:rsidP="001C382F">
      <w:pPr>
        <w:pStyle w:val="Odstavecseseznamem"/>
        <w:numPr>
          <w:ilvl w:val="0"/>
          <w:numId w:val="4"/>
        </w:numPr>
        <w:spacing w:before="120" w:after="0"/>
        <w:ind w:left="714" w:hanging="357"/>
        <w:contextualSpacing w:val="0"/>
        <w:jc w:val="both"/>
        <w:rPr>
          <w:szCs w:val="20"/>
        </w:rPr>
      </w:pPr>
      <w:r w:rsidRPr="00464D9E">
        <w:rPr>
          <w:szCs w:val="20"/>
        </w:rPr>
        <w:t xml:space="preserve">dodržování veškerých právních předpisů v oblasti odpadového hospodářství, zejm. pak dle zákona č. 541/2020 Sb., o odpadech, v aktuálním znění účinný od </w:t>
      </w:r>
      <w:proofErr w:type="gramStart"/>
      <w:r w:rsidRPr="00464D9E">
        <w:rPr>
          <w:szCs w:val="20"/>
        </w:rPr>
        <w:t>1.1.2021</w:t>
      </w:r>
      <w:proofErr w:type="gramEnd"/>
    </w:p>
    <w:p w:rsidR="00857A77" w:rsidRPr="00464D9E" w:rsidRDefault="00857A77" w:rsidP="001C382F">
      <w:pPr>
        <w:pStyle w:val="Odstavecseseznamem"/>
        <w:numPr>
          <w:ilvl w:val="0"/>
          <w:numId w:val="4"/>
        </w:numPr>
        <w:spacing w:before="120" w:after="0"/>
        <w:ind w:left="714" w:hanging="357"/>
        <w:contextualSpacing w:val="0"/>
        <w:jc w:val="both"/>
        <w:rPr>
          <w:szCs w:val="20"/>
        </w:rPr>
      </w:pPr>
      <w:r w:rsidRPr="00464D9E">
        <w:rPr>
          <w:szCs w:val="20"/>
        </w:rPr>
        <w:t xml:space="preserve">do doby vydání prováděcích předpisů k novému zákonu o odpadech postupovat v souladu s metodikou Ministerstva životního </w:t>
      </w:r>
      <w:r w:rsidR="00464D9E">
        <w:rPr>
          <w:szCs w:val="20"/>
        </w:rPr>
        <w:t xml:space="preserve">prostředí, Metodický pokyn </w:t>
      </w:r>
      <w:proofErr w:type="gramStart"/>
      <w:r w:rsidR="00464D9E">
        <w:rPr>
          <w:szCs w:val="20"/>
        </w:rPr>
        <w:t>č.j.</w:t>
      </w:r>
      <w:proofErr w:type="gramEnd"/>
      <w:r w:rsidR="00464D9E">
        <w:rPr>
          <w:szCs w:val="20"/>
        </w:rPr>
        <w:t> </w:t>
      </w:r>
      <w:r w:rsidRPr="00464D9E">
        <w:rPr>
          <w:szCs w:val="20"/>
        </w:rPr>
        <w:t>MZP/2020/720/5379 ze dne 23.12.2020</w:t>
      </w:r>
    </w:p>
    <w:p w:rsidR="00857A77" w:rsidRPr="00464D9E" w:rsidRDefault="001C382F" w:rsidP="00962BEE">
      <w:pPr>
        <w:pStyle w:val="Odstavecseseznamem"/>
        <w:numPr>
          <w:ilvl w:val="0"/>
          <w:numId w:val="4"/>
        </w:numPr>
        <w:spacing w:before="120" w:after="0"/>
        <w:ind w:left="714" w:hanging="357"/>
        <w:contextualSpacing w:val="0"/>
        <w:jc w:val="both"/>
        <w:rPr>
          <w:b/>
          <w:szCs w:val="20"/>
        </w:rPr>
      </w:pPr>
      <w:r w:rsidRPr="00464D9E">
        <w:rPr>
          <w:szCs w:val="20"/>
        </w:rPr>
        <w:t>ohlašování přepravy nebezpečných odpadů</w:t>
      </w:r>
      <w:r w:rsidR="00464D9E">
        <w:rPr>
          <w:szCs w:val="20"/>
        </w:rPr>
        <w:t xml:space="preserve"> v souladu s §78 a §79 zákona o </w:t>
      </w:r>
      <w:r w:rsidRPr="00464D9E">
        <w:rPr>
          <w:szCs w:val="20"/>
        </w:rPr>
        <w:t>odpadech prostřednictvím Systému evidence přepravy nebezpečných odpadů (SEPNO)</w:t>
      </w:r>
      <w:r w:rsidR="00962BEE" w:rsidRPr="00464D9E">
        <w:rPr>
          <w:szCs w:val="20"/>
        </w:rPr>
        <w:t xml:space="preserve"> – </w:t>
      </w:r>
      <w:r w:rsidR="00962BEE" w:rsidRPr="00464D9E">
        <w:rPr>
          <w:b/>
          <w:szCs w:val="20"/>
        </w:rPr>
        <w:t xml:space="preserve">povinnost dodavatele </w:t>
      </w:r>
    </w:p>
    <w:p w:rsidR="00962BEE" w:rsidRPr="00464D9E" w:rsidRDefault="00962BEE" w:rsidP="00962BEE">
      <w:pPr>
        <w:pStyle w:val="Odstavecseseznamem"/>
        <w:numPr>
          <w:ilvl w:val="0"/>
          <w:numId w:val="4"/>
        </w:numPr>
        <w:spacing w:before="120" w:after="0"/>
        <w:ind w:left="714" w:hanging="357"/>
        <w:contextualSpacing w:val="0"/>
        <w:jc w:val="both"/>
        <w:rPr>
          <w:b/>
          <w:szCs w:val="20"/>
        </w:rPr>
      </w:pPr>
      <w:r w:rsidRPr="00464D9E">
        <w:rPr>
          <w:b/>
          <w:szCs w:val="20"/>
        </w:rPr>
        <w:t>poskytov</w:t>
      </w:r>
      <w:r w:rsidR="00857A77" w:rsidRPr="00464D9E">
        <w:rPr>
          <w:b/>
          <w:szCs w:val="20"/>
        </w:rPr>
        <w:t xml:space="preserve">at </w:t>
      </w:r>
      <w:r w:rsidRPr="00464D9E">
        <w:rPr>
          <w:b/>
          <w:szCs w:val="20"/>
        </w:rPr>
        <w:t>služ</w:t>
      </w:r>
      <w:r w:rsidR="00857A77" w:rsidRPr="00464D9E">
        <w:rPr>
          <w:b/>
          <w:szCs w:val="20"/>
        </w:rPr>
        <w:t>by</w:t>
      </w:r>
      <w:r w:rsidRPr="00464D9E">
        <w:rPr>
          <w:b/>
          <w:szCs w:val="20"/>
        </w:rPr>
        <w:t xml:space="preserve"> pouze na základě </w:t>
      </w:r>
      <w:r w:rsidRPr="00464D9E">
        <w:rPr>
          <w:szCs w:val="20"/>
        </w:rPr>
        <w:t>platn</w:t>
      </w:r>
      <w:r w:rsidR="00857A77" w:rsidRPr="00464D9E">
        <w:rPr>
          <w:szCs w:val="20"/>
        </w:rPr>
        <w:t xml:space="preserve">ého </w:t>
      </w:r>
      <w:r w:rsidRPr="00464D9E">
        <w:rPr>
          <w:szCs w:val="20"/>
        </w:rPr>
        <w:t>opráv</w:t>
      </w:r>
      <w:r w:rsidR="00857A77" w:rsidRPr="00464D9E">
        <w:rPr>
          <w:szCs w:val="20"/>
        </w:rPr>
        <w:t xml:space="preserve">nění </w:t>
      </w:r>
      <w:r w:rsidRPr="00464D9E">
        <w:rPr>
          <w:szCs w:val="20"/>
        </w:rPr>
        <w:t xml:space="preserve">k podnikání v oblasti nakládání s nebezpečnými odpady, včetně </w:t>
      </w:r>
      <w:r w:rsidR="00857A77" w:rsidRPr="00464D9E">
        <w:rPr>
          <w:szCs w:val="20"/>
        </w:rPr>
        <w:t>zajištění a udržování v p</w:t>
      </w:r>
      <w:r w:rsidR="00861378" w:rsidRPr="00464D9E">
        <w:rPr>
          <w:szCs w:val="20"/>
        </w:rPr>
        <w:t>l</w:t>
      </w:r>
      <w:r w:rsidR="00857A77" w:rsidRPr="00464D9E">
        <w:rPr>
          <w:szCs w:val="20"/>
        </w:rPr>
        <w:t>a</w:t>
      </w:r>
      <w:r w:rsidR="00861378" w:rsidRPr="00464D9E">
        <w:rPr>
          <w:szCs w:val="20"/>
        </w:rPr>
        <w:t>tnosti</w:t>
      </w:r>
      <w:r w:rsidR="00857A77" w:rsidRPr="00464D9E">
        <w:rPr>
          <w:szCs w:val="20"/>
        </w:rPr>
        <w:t xml:space="preserve"> </w:t>
      </w:r>
      <w:r w:rsidRPr="00464D9E">
        <w:rPr>
          <w:szCs w:val="20"/>
        </w:rPr>
        <w:t xml:space="preserve">všech potřebných rozhodnutí dotčených orgánů </w:t>
      </w:r>
      <w:r w:rsidR="00857A77" w:rsidRPr="00464D9E">
        <w:rPr>
          <w:szCs w:val="20"/>
        </w:rPr>
        <w:t>veřejné správy</w:t>
      </w:r>
      <w:r w:rsidR="00464D9E">
        <w:rPr>
          <w:szCs w:val="20"/>
        </w:rPr>
        <w:t xml:space="preserve"> pro nakládání s </w:t>
      </w:r>
      <w:r w:rsidRPr="00464D9E">
        <w:rPr>
          <w:szCs w:val="20"/>
        </w:rPr>
        <w:t xml:space="preserve">nebezpečnými odpady, kterými </w:t>
      </w:r>
      <w:r w:rsidR="00857A77" w:rsidRPr="00464D9E">
        <w:rPr>
          <w:szCs w:val="20"/>
        </w:rPr>
        <w:t xml:space="preserve">dodavatel </w:t>
      </w:r>
      <w:r w:rsidRPr="00464D9E">
        <w:rPr>
          <w:szCs w:val="20"/>
        </w:rPr>
        <w:t>prokazuje, že je provozovatelem zařízení k využití, odstranění, sběru nebo výkupu určeného druhu odpadu, nebo osobou, která je provozovatelem zařízení podle §22 zákona o odpadech.</w:t>
      </w:r>
    </w:p>
    <w:p w:rsidR="00857A77" w:rsidRPr="00464D9E" w:rsidRDefault="00857A77" w:rsidP="001C382F">
      <w:pPr>
        <w:pStyle w:val="Odstavecseseznamem"/>
        <w:numPr>
          <w:ilvl w:val="0"/>
          <w:numId w:val="4"/>
        </w:numPr>
        <w:spacing w:before="120" w:after="0"/>
        <w:ind w:left="714" w:hanging="357"/>
        <w:contextualSpacing w:val="0"/>
        <w:jc w:val="both"/>
        <w:rPr>
          <w:i/>
          <w:szCs w:val="20"/>
        </w:rPr>
      </w:pPr>
      <w:r w:rsidRPr="00464D9E">
        <w:rPr>
          <w:i/>
          <w:szCs w:val="20"/>
        </w:rPr>
        <w:t xml:space="preserve">Poznámka: k datu přípravy zadávací dokumentace je platná výjimka daná přechodovými ustanoveními k novému odpadovému zákonu: </w:t>
      </w:r>
    </w:p>
    <w:p w:rsidR="00F254D4" w:rsidRPr="00464D9E" w:rsidRDefault="00F254D4" w:rsidP="00F254D4">
      <w:pPr>
        <w:pStyle w:val="Odstavecseseznamem"/>
        <w:numPr>
          <w:ilvl w:val="1"/>
          <w:numId w:val="4"/>
        </w:numPr>
        <w:spacing w:after="0"/>
        <w:jc w:val="both"/>
        <w:rPr>
          <w:szCs w:val="20"/>
        </w:rPr>
      </w:pPr>
      <w:r w:rsidRPr="00464D9E">
        <w:rPr>
          <w:szCs w:val="20"/>
        </w:rPr>
        <w:t>Zařízení provozovaná na základě souhlasu podle § 14 odst. 1 dosavadního Zákona: Tato zařízení mohou být provozována do konce platnosti stávajícího souhlasu nejdéle však:</w:t>
      </w:r>
    </w:p>
    <w:p w:rsidR="00F254D4" w:rsidRPr="00464D9E" w:rsidRDefault="00F254D4" w:rsidP="00F254D4">
      <w:pPr>
        <w:spacing w:after="0"/>
        <w:ind w:left="1416"/>
        <w:jc w:val="both"/>
        <w:rPr>
          <w:szCs w:val="20"/>
        </w:rPr>
      </w:pPr>
      <w:r w:rsidRPr="00464D9E">
        <w:rPr>
          <w:szCs w:val="20"/>
        </w:rPr>
        <w:t>- mobilní zařízení do konce roku 2021,</w:t>
      </w:r>
    </w:p>
    <w:p w:rsidR="00F254D4" w:rsidRPr="00464D9E" w:rsidRDefault="00F254D4" w:rsidP="00F254D4">
      <w:pPr>
        <w:spacing w:after="0"/>
        <w:ind w:left="1416"/>
        <w:jc w:val="both"/>
        <w:rPr>
          <w:szCs w:val="20"/>
        </w:rPr>
      </w:pPr>
      <w:r w:rsidRPr="00464D9E">
        <w:rPr>
          <w:szCs w:val="20"/>
        </w:rPr>
        <w:t>- zařízení ke sběru odpadů do konce roku 2022,</w:t>
      </w:r>
    </w:p>
    <w:p w:rsidR="00F254D4" w:rsidRPr="00464D9E" w:rsidRDefault="00F254D4" w:rsidP="00F254D4">
      <w:pPr>
        <w:spacing w:after="0"/>
        <w:ind w:left="1416"/>
        <w:jc w:val="both"/>
        <w:rPr>
          <w:szCs w:val="20"/>
        </w:rPr>
      </w:pPr>
      <w:r w:rsidRPr="00464D9E">
        <w:rPr>
          <w:szCs w:val="20"/>
        </w:rPr>
        <w:t>- zařízení k využívání a odstraňování odpadu do konce roku 2023.</w:t>
      </w:r>
    </w:p>
    <w:p w:rsidR="00DA7F0A" w:rsidRPr="00464D9E" w:rsidRDefault="00F254D4" w:rsidP="00996381">
      <w:pPr>
        <w:spacing w:after="0"/>
        <w:ind w:left="1416"/>
        <w:jc w:val="both"/>
        <w:rPr>
          <w:szCs w:val="20"/>
        </w:rPr>
      </w:pPr>
      <w:r w:rsidRPr="00464D9E">
        <w:rPr>
          <w:szCs w:val="20"/>
        </w:rPr>
        <w:lastRenderedPageBreak/>
        <w:t>Pokud provozovatel požádá o nové povolení půl roku před koncem platnosti souhlasu, může provozovat zařízení, dokud krajský úřad o novém povolení nerozhodne.</w:t>
      </w:r>
    </w:p>
    <w:sectPr w:rsidR="00DA7F0A" w:rsidRPr="00464D9E" w:rsidSect="00464D9E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A5E" w:rsidRDefault="002B7A5E" w:rsidP="002B7A5E">
      <w:pPr>
        <w:spacing w:after="0" w:line="240" w:lineRule="auto"/>
      </w:pPr>
      <w:r>
        <w:separator/>
      </w:r>
    </w:p>
  </w:endnote>
  <w:endnote w:type="continuationSeparator" w:id="0">
    <w:p w:rsidR="002B7A5E" w:rsidRDefault="002B7A5E" w:rsidP="002B7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717" w:type="dxa"/>
      <w:tblInd w:w="14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4111"/>
      <w:gridCol w:w="3254"/>
      <w:gridCol w:w="3352"/>
    </w:tblGrid>
    <w:tr w:rsidR="002B7A5E" w:rsidTr="002B7A5E">
      <w:tc>
        <w:tcPr>
          <w:tcW w:w="4111" w:type="dxa"/>
          <w:shd w:val="clear" w:color="auto" w:fill="auto"/>
          <w:tcMar>
            <w:left w:w="0" w:type="dxa"/>
            <w:right w:w="0" w:type="dxa"/>
          </w:tcMar>
        </w:tcPr>
        <w:p w:rsidR="002B7A5E" w:rsidRDefault="002B7A5E" w:rsidP="002B7A5E">
          <w:pPr>
            <w:pStyle w:val="Zpat"/>
          </w:pPr>
        </w:p>
      </w:tc>
      <w:tc>
        <w:tcPr>
          <w:tcW w:w="3254" w:type="dxa"/>
          <w:shd w:val="clear" w:color="auto" w:fill="auto"/>
          <w:tcMar>
            <w:left w:w="0" w:type="dxa"/>
            <w:right w:w="0" w:type="dxa"/>
          </w:tcMar>
        </w:tcPr>
        <w:p w:rsidR="002B7A5E" w:rsidRDefault="002B7A5E" w:rsidP="002B7A5E">
          <w:pPr>
            <w:pStyle w:val="Zpat"/>
          </w:pPr>
        </w:p>
      </w:tc>
      <w:tc>
        <w:tcPr>
          <w:tcW w:w="3352" w:type="dxa"/>
        </w:tcPr>
        <w:p w:rsidR="002B7A5E" w:rsidRDefault="002B7A5E" w:rsidP="002B7A5E">
          <w:pPr>
            <w:pStyle w:val="Zpat"/>
          </w:pPr>
        </w:p>
      </w:tc>
    </w:tr>
  </w:tbl>
  <w:p w:rsidR="002B7A5E" w:rsidRDefault="002B7A5E" w:rsidP="002B7A5E">
    <w:pPr>
      <w:pStyle w:val="Zpat"/>
      <w:tabs>
        <w:tab w:val="clear" w:pos="4536"/>
        <w:tab w:val="center" w:pos="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717" w:type="dxa"/>
      <w:tblInd w:w="14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4111"/>
      <w:gridCol w:w="3254"/>
      <w:gridCol w:w="3352"/>
    </w:tblGrid>
    <w:tr w:rsidR="00464D9E" w:rsidTr="00F60CE9">
      <w:tc>
        <w:tcPr>
          <w:tcW w:w="4111" w:type="dxa"/>
          <w:shd w:val="clear" w:color="auto" w:fill="auto"/>
          <w:tcMar>
            <w:left w:w="0" w:type="dxa"/>
            <w:right w:w="0" w:type="dxa"/>
          </w:tcMar>
        </w:tcPr>
        <w:p w:rsidR="00464D9E" w:rsidRDefault="00464D9E" w:rsidP="00464D9E">
          <w:pPr>
            <w:pStyle w:val="Zpat"/>
          </w:pPr>
          <w:r>
            <w:t>Správa železnic, státní organizace</w:t>
          </w:r>
        </w:p>
        <w:p w:rsidR="00464D9E" w:rsidRDefault="00464D9E" w:rsidP="00464D9E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3254" w:type="dxa"/>
          <w:shd w:val="clear" w:color="auto" w:fill="auto"/>
          <w:tcMar>
            <w:left w:w="0" w:type="dxa"/>
            <w:right w:w="0" w:type="dxa"/>
          </w:tcMar>
        </w:tcPr>
        <w:p w:rsidR="00464D9E" w:rsidRDefault="00464D9E" w:rsidP="00464D9E">
          <w:pPr>
            <w:pStyle w:val="Zpat"/>
          </w:pPr>
          <w:r>
            <w:t>Sídlo: Dlážděná 1003/7, 110 00 Praha 1</w:t>
          </w:r>
        </w:p>
        <w:p w:rsidR="00464D9E" w:rsidRDefault="00464D9E" w:rsidP="00464D9E">
          <w:pPr>
            <w:pStyle w:val="Zpat"/>
          </w:pPr>
          <w:r>
            <w:t>IČ: 709 94 234 DIČ: CZ 709 94 234</w:t>
          </w:r>
        </w:p>
        <w:p w:rsidR="00464D9E" w:rsidRDefault="00464D9E" w:rsidP="00464D9E">
          <w:pPr>
            <w:pStyle w:val="Zpat"/>
          </w:pPr>
          <w:r>
            <w:t>spravazeleznic.cz</w:t>
          </w:r>
        </w:p>
      </w:tc>
      <w:tc>
        <w:tcPr>
          <w:tcW w:w="3352" w:type="dxa"/>
        </w:tcPr>
        <w:p w:rsidR="00464D9E" w:rsidRDefault="00464D9E" w:rsidP="00464D9E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:rsidR="00464D9E" w:rsidRDefault="00464D9E" w:rsidP="00464D9E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:rsidR="00464D9E" w:rsidRDefault="00464D9E" w:rsidP="00464D9E">
          <w:pPr>
            <w:pStyle w:val="Zpat"/>
          </w:pPr>
          <w:r>
            <w:rPr>
              <w:b/>
            </w:rPr>
            <w:t>702 00 Ostrava</w:t>
          </w:r>
        </w:p>
      </w:tc>
    </w:tr>
  </w:tbl>
  <w:p w:rsidR="00464D9E" w:rsidRDefault="00464D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A5E" w:rsidRDefault="002B7A5E" w:rsidP="002B7A5E">
      <w:pPr>
        <w:spacing w:after="0" w:line="240" w:lineRule="auto"/>
      </w:pPr>
      <w:r>
        <w:separator/>
      </w:r>
    </w:p>
  </w:footnote>
  <w:footnote w:type="continuationSeparator" w:id="0">
    <w:p w:rsidR="002B7A5E" w:rsidRDefault="002B7A5E" w:rsidP="002B7A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D9E" w:rsidRPr="00E868BD" w:rsidRDefault="00464D9E" w:rsidP="00464D9E">
    <w:pPr>
      <w:tabs>
        <w:tab w:val="center" w:pos="4536"/>
        <w:tab w:val="right" w:pos="9072"/>
      </w:tabs>
      <w:spacing w:after="0"/>
      <w:jc w:val="right"/>
      <w:rPr>
        <w:rFonts w:eastAsia="Calibri"/>
        <w:sz w:val="18"/>
        <w:szCs w:val="18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2EC3FAB9" wp14:editId="2F765A42">
          <wp:simplePos x="0" y="0"/>
          <wp:positionH relativeFrom="page">
            <wp:posOffset>672465</wp:posOffset>
          </wp:positionH>
          <wp:positionV relativeFrom="page">
            <wp:posOffset>192405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868BD">
      <w:rPr>
        <w:rFonts w:eastAsia="Calibri"/>
        <w:sz w:val="18"/>
        <w:szCs w:val="18"/>
      </w:rPr>
      <w:t xml:space="preserve">Příloha </w:t>
    </w:r>
    <w:r>
      <w:rPr>
        <w:rFonts w:eastAsia="Calibri"/>
        <w:sz w:val="18"/>
        <w:szCs w:val="18"/>
      </w:rPr>
      <w:t>1b</w:t>
    </w:r>
    <w:r w:rsidRPr="00E868BD">
      <w:rPr>
        <w:rFonts w:eastAsia="Calibri"/>
        <w:sz w:val="18"/>
        <w:szCs w:val="18"/>
      </w:rPr>
      <w:t xml:space="preserve"> </w:t>
    </w:r>
    <w:r>
      <w:rPr>
        <w:rFonts w:eastAsia="Calibri"/>
        <w:sz w:val="18"/>
        <w:szCs w:val="18"/>
      </w:rPr>
      <w:t>Zadávací dokumentace</w:t>
    </w:r>
    <w:r w:rsidRPr="00E868BD">
      <w:rPr>
        <w:rFonts w:eastAsia="Calibri"/>
        <w:sz w:val="18"/>
        <w:szCs w:val="18"/>
      </w:rPr>
      <w:t>:</w:t>
    </w:r>
  </w:p>
  <w:p w:rsidR="00464D9E" w:rsidRPr="002B7A5E" w:rsidRDefault="00464D9E" w:rsidP="00464D9E">
    <w:pPr>
      <w:pStyle w:val="Nadpis2"/>
      <w:spacing w:before="0"/>
      <w:contextualSpacing/>
      <w:jc w:val="right"/>
      <w:rPr>
        <w:rStyle w:val="FontStyle37"/>
        <w:rFonts w:ascii="Verdana" w:hAnsi="Verdana"/>
        <w:color w:val="auto"/>
        <w:sz w:val="18"/>
        <w:szCs w:val="18"/>
      </w:rPr>
    </w:pPr>
    <w:r w:rsidRPr="002B7A5E">
      <w:rPr>
        <w:rStyle w:val="FontStyle37"/>
        <w:rFonts w:ascii="Verdana" w:hAnsi="Verdana"/>
        <w:color w:val="auto"/>
        <w:sz w:val="18"/>
        <w:szCs w:val="18"/>
      </w:rPr>
      <w:t>Technická specifikace (technické podmínky)</w:t>
    </w:r>
  </w:p>
  <w:p w:rsidR="00464D9E" w:rsidRPr="00464D9E" w:rsidRDefault="00464D9E" w:rsidP="00464D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84E06"/>
    <w:multiLevelType w:val="multilevel"/>
    <w:tmpl w:val="460CC5D4"/>
    <w:lvl w:ilvl="0">
      <w:start w:val="1"/>
      <w:numFmt w:val="decimal"/>
      <w:lvlText w:val="5.%1"/>
      <w:lvlJc w:val="left"/>
      <w:pPr>
        <w:ind w:left="0" w:firstLine="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%2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9323C51"/>
    <w:multiLevelType w:val="hybridMultilevel"/>
    <w:tmpl w:val="AB72E4BC"/>
    <w:lvl w:ilvl="0" w:tplc="9A38C04C">
      <w:start w:val="7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E0371"/>
    <w:multiLevelType w:val="hybridMultilevel"/>
    <w:tmpl w:val="07F4987C"/>
    <w:lvl w:ilvl="0" w:tplc="37367338">
      <w:start w:val="1"/>
      <w:numFmt w:val="lowerLetter"/>
      <w:lvlText w:val="%1)"/>
      <w:lvlJc w:val="left"/>
      <w:pPr>
        <w:ind w:left="1152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 w15:restartNumberingAfterBreak="0">
    <w:nsid w:val="4B4C797F"/>
    <w:multiLevelType w:val="hybridMultilevel"/>
    <w:tmpl w:val="96FE01C0"/>
    <w:lvl w:ilvl="0" w:tplc="6EE825E4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color w:val="auto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num w:numId="1">
    <w:abstractNumId w:val="2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E21"/>
    <w:rsid w:val="00127826"/>
    <w:rsid w:val="001C382F"/>
    <w:rsid w:val="002B7A5E"/>
    <w:rsid w:val="003727EC"/>
    <w:rsid w:val="00464D9E"/>
    <w:rsid w:val="004E0E21"/>
    <w:rsid w:val="005928EC"/>
    <w:rsid w:val="00736FC0"/>
    <w:rsid w:val="00793538"/>
    <w:rsid w:val="00857A77"/>
    <w:rsid w:val="00861378"/>
    <w:rsid w:val="00962BEE"/>
    <w:rsid w:val="00996381"/>
    <w:rsid w:val="00BF6A6B"/>
    <w:rsid w:val="00CB7648"/>
    <w:rsid w:val="00DA7F0A"/>
    <w:rsid w:val="00F2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5EBF569"/>
  <w15:chartTrackingRefBased/>
  <w15:docId w15:val="{2EC7F979-4AD1-4678-9F15-6710A9856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E0E21"/>
  </w:style>
  <w:style w:type="paragraph" w:customStyle="1" w:styleId="acnormalbulleted">
    <w:name w:val="ac_normal_bulleted"/>
    <w:basedOn w:val="Normln"/>
    <w:next w:val="Normln"/>
    <w:autoRedefine/>
    <w:qFormat/>
    <w:rsid w:val="00793538"/>
    <w:pPr>
      <w:numPr>
        <w:numId w:val="2"/>
      </w:numPr>
      <w:tabs>
        <w:tab w:val="left" w:pos="0"/>
      </w:tabs>
      <w:spacing w:before="120" w:after="120"/>
      <w:jc w:val="both"/>
    </w:pPr>
    <w:rPr>
      <w:rFonts w:eastAsia="Calibri" w:cs="Arial"/>
      <w:sz w:val="18"/>
      <w:szCs w:val="18"/>
    </w:rPr>
  </w:style>
  <w:style w:type="character" w:styleId="Odkaznakoment">
    <w:name w:val="annotation reference"/>
    <w:basedOn w:val="Standardnpsmoodstavce"/>
    <w:semiHidden/>
    <w:unhideWhenUsed/>
    <w:rsid w:val="00DA7F0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A7F0A"/>
    <w:pPr>
      <w:spacing w:line="240" w:lineRule="auto"/>
    </w:pPr>
    <w:rPr>
      <w:rFonts w:ascii="Calibri" w:eastAsia="Calibri" w:hAnsi="Calibri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A7F0A"/>
    <w:rPr>
      <w:rFonts w:ascii="Calibri" w:eastAsia="Calibri" w:hAnsi="Calibri" w:cs="Times New Roman"/>
      <w:szCs w:val="20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DA7F0A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DA7F0A"/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FontStyle37">
    <w:name w:val="Font Style37"/>
    <w:uiPriority w:val="99"/>
    <w:rsid w:val="00DA7F0A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customStyle="1" w:styleId="Textbezslovn">
    <w:name w:val="_Text_bez_číslování"/>
    <w:basedOn w:val="Normln"/>
    <w:link w:val="TextbezslovnChar"/>
    <w:qFormat/>
    <w:rsid w:val="00DA7F0A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DA7F0A"/>
    <w:rPr>
      <w:rFonts w:asciiTheme="minorHAnsi" w:hAnsiTheme="minorHAnsi"/>
      <w:sz w:val="18"/>
      <w:szCs w:val="18"/>
    </w:rPr>
  </w:style>
  <w:style w:type="paragraph" w:customStyle="1" w:styleId="Textbezodsazen">
    <w:name w:val="_Text_bez_odsazení"/>
    <w:basedOn w:val="Normln"/>
    <w:link w:val="TextbezodsazenChar"/>
    <w:qFormat/>
    <w:rsid w:val="00DA7F0A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DA7F0A"/>
    <w:rPr>
      <w:rFonts w:asciiTheme="minorHAnsi" w:hAnsiTheme="minorHAnsi"/>
      <w:sz w:val="18"/>
      <w:szCs w:val="18"/>
    </w:rPr>
  </w:style>
  <w:style w:type="character" w:customStyle="1" w:styleId="FontStyle38">
    <w:name w:val="Font Style38"/>
    <w:basedOn w:val="Standardnpsmoodstavce"/>
    <w:uiPriority w:val="99"/>
    <w:rsid w:val="00DA7F0A"/>
    <w:rPr>
      <w:rFonts w:ascii="Times New Roman" w:hAnsi="Times New Roman" w:cs="Times New Roman" w:hint="default"/>
      <w:color w:val="000000"/>
    </w:rPr>
  </w:style>
  <w:style w:type="paragraph" w:customStyle="1" w:styleId="Normln12b">
    <w:name w:val="Normální + 12 b."/>
    <w:aliases w:val="Černá,Zarovnat do bloku,Řádkování:  1,5 řádku"/>
    <w:basedOn w:val="Normln"/>
    <w:rsid w:val="00DA7F0A"/>
    <w:pPr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F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F0A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2B7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B7A5E"/>
  </w:style>
  <w:style w:type="paragraph" w:styleId="Zpat">
    <w:name w:val="footer"/>
    <w:basedOn w:val="Normln"/>
    <w:link w:val="ZpatChar"/>
    <w:uiPriority w:val="99"/>
    <w:unhideWhenUsed/>
    <w:rsid w:val="002B7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B7A5E"/>
  </w:style>
  <w:style w:type="table" w:styleId="Mkatabulky">
    <w:name w:val="Table Grid"/>
    <w:basedOn w:val="Normlntabulka"/>
    <w:uiPriority w:val="39"/>
    <w:rsid w:val="002B7A5E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Zkladntext">
    <w:name w:val="Základní text_"/>
    <w:basedOn w:val="Standardnpsmoodstavce"/>
    <w:link w:val="Zkladntext4"/>
    <w:rsid w:val="00861378"/>
    <w:rPr>
      <w:rFonts w:ascii="Calibri" w:eastAsia="Times New Roman" w:hAnsi="Calibri" w:cs="Calibri"/>
      <w:sz w:val="24"/>
      <w:szCs w:val="24"/>
    </w:rPr>
  </w:style>
  <w:style w:type="paragraph" w:customStyle="1" w:styleId="Zkladntext4">
    <w:name w:val="Základní text4"/>
    <w:basedOn w:val="Normln"/>
    <w:link w:val="Zkladntext"/>
    <w:rsid w:val="00861378"/>
    <w:pPr>
      <w:tabs>
        <w:tab w:val="left" w:pos="560"/>
      </w:tabs>
      <w:spacing w:after="240" w:line="241" w:lineRule="exact"/>
      <w:ind w:right="40"/>
      <w:jc w:val="both"/>
    </w:pPr>
    <w:rPr>
      <w:rFonts w:ascii="Calibri" w:eastAsia="Times New Roman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5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589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Jüttnerová Andrea, Mgr.</dc:creator>
  <cp:keywords/>
  <dc:description/>
  <cp:lastModifiedBy>Jüttnerová Andrea, Mgr.</cp:lastModifiedBy>
  <cp:revision>4</cp:revision>
  <dcterms:created xsi:type="dcterms:W3CDTF">2021-03-04T13:07:00Z</dcterms:created>
  <dcterms:modified xsi:type="dcterms:W3CDTF">2021-03-04T13:36:00Z</dcterms:modified>
</cp:coreProperties>
</file>