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7B2D9E1B" w14:textId="1B83810B" w:rsidR="00BF54FE" w:rsidRDefault="003038CC" w:rsidP="006C2343">
      <w:pPr>
        <w:pStyle w:val="Tituldatum"/>
      </w:pPr>
      <w:r w:rsidRPr="003038CC">
        <w:rPr>
          <w:rStyle w:val="Nzevakce"/>
        </w:rPr>
        <w:t>Havlíčkův Brod ST MES oprava (dílny, sklady)</w:t>
      </w: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0FA640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038CC" w:rsidRPr="00B83455">
        <w:t>05</w:t>
      </w:r>
      <w:r w:rsidRPr="00B83455">
        <w:t xml:space="preserve">. </w:t>
      </w:r>
      <w:r w:rsidR="00DD550D" w:rsidRPr="00B83455">
        <w:t>0</w:t>
      </w:r>
      <w:r w:rsidR="003038CC" w:rsidRPr="00B83455">
        <w:t>2</w:t>
      </w:r>
      <w:r w:rsidRPr="00B83455">
        <w:t>. 20</w:t>
      </w:r>
      <w:r w:rsidR="002C0924" w:rsidRPr="00B83455">
        <w:t>2</w:t>
      </w:r>
      <w:r w:rsidR="00DD550D" w:rsidRPr="00B83455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7AED1F1C" w14:textId="77777777" w:rsidR="00DA1C67" w:rsidRPr="0077778B" w:rsidRDefault="00DA1C67" w:rsidP="00DA1C67">
      <w:pPr>
        <w:pStyle w:val="ZTPinfo-text"/>
        <w:rPr>
          <w:b/>
        </w:rPr>
      </w:pPr>
    </w:p>
    <w:p w14:paraId="75CF8063" w14:textId="77777777" w:rsidR="00DA1C67" w:rsidRDefault="00DA1C67" w:rsidP="00DA1C67"/>
    <w:p w14:paraId="347D42B0" w14:textId="77777777" w:rsidR="00DA1C67" w:rsidRDefault="00DA1C67"/>
    <w:p w14:paraId="447422FE" w14:textId="77777777" w:rsidR="00DA1C67" w:rsidRDefault="00DA1C67"/>
    <w:p w14:paraId="366F47EF" w14:textId="77777777" w:rsidR="00DA1C67" w:rsidRDefault="00DA1C67"/>
    <w:p w14:paraId="6627779C" w14:textId="77777777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D250E4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D250E4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D250E4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D250E4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D250E4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D250E4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D250E4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D250E4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77D357A6" w14:textId="62102800" w:rsidR="00DF7BAA" w:rsidRDefault="00DF7BAA" w:rsidP="00DF7BAA">
      <w:pPr>
        <w:pStyle w:val="Text2-1"/>
      </w:pPr>
      <w:r>
        <w:t xml:space="preserve">Předmětem díla je zhotovení </w:t>
      </w:r>
      <w:r w:rsidRPr="003038CC">
        <w:t>stavby „</w:t>
      </w:r>
      <w:r w:rsidR="003038CC" w:rsidRPr="003038CC">
        <w:rPr>
          <w:rStyle w:val="Nadpisvtabulce"/>
          <w:b w:val="0"/>
        </w:rPr>
        <w:t>Havlíčkův Brod ST MES oprava (sklady, dílny)</w:t>
      </w:r>
      <w:r w:rsidR="003038CC" w:rsidRPr="003038CC">
        <w:t>“</w:t>
      </w:r>
      <w:r>
        <w:t xml:space="preserve"> jejímž cílem je </w:t>
      </w:r>
      <w:r w:rsidR="003038CC">
        <w:rPr>
          <w:rFonts w:eastAsia="Calibri" w:cstheme="minorHAnsi"/>
        </w:rPr>
        <w:t>dokončení celkové opravy objektu (vnitřní instalace ZTI, ÚT, vzduchotechnika, rozvod stlačeného vzduchu, elektroinstalace), podlahy, obálka budovy – fasáda, půdní prostor a podzemní části hromosvodu</w:t>
      </w:r>
    </w:p>
    <w:p w14:paraId="1B5E66A3" w14:textId="0F69BE2B" w:rsidR="00DF7BAA" w:rsidRPr="00DB4332" w:rsidRDefault="00DF7BAA" w:rsidP="00DF7BAA">
      <w:pPr>
        <w:pStyle w:val="Text2-1"/>
      </w:pPr>
      <w:r w:rsidRPr="00DB4332">
        <w:t xml:space="preserve">Rozsah Díla </w:t>
      </w:r>
      <w:r w:rsidRPr="005C5372">
        <w:t>„</w:t>
      </w:r>
      <w:r w:rsidR="003038CC" w:rsidRPr="003038CC">
        <w:rPr>
          <w:rStyle w:val="Nadpisvtabulce"/>
          <w:b w:val="0"/>
        </w:rPr>
        <w:t>Havlíčkův Brod ST MES oprava (sklady, dílny)</w:t>
      </w:r>
      <w:r w:rsidRPr="00BC51B8">
        <w:t>“</w:t>
      </w:r>
      <w:r w:rsidRPr="00DB4332">
        <w:t xml:space="preserve"> je </w:t>
      </w:r>
      <w:r w:rsidR="003038CC">
        <w:t>zhotovení stavby.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2AAD1681" w14:textId="01D3325D" w:rsidR="00DF7BAA" w:rsidRDefault="00DF7BAA" w:rsidP="00DF7BAA">
      <w:pPr>
        <w:pStyle w:val="Text2-1"/>
      </w:pPr>
      <w:r>
        <w:t xml:space="preserve">Stavba bude probíhat na trati </w:t>
      </w:r>
      <w:r w:rsidR="003038CC">
        <w:t>1201R1, kraj Vysočina, okres Havlíčkův Brod, katastrální území Havlíčkův Brod, st. P. č. 2476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28D9DC3E" w14:textId="75D82372" w:rsidR="00DF7BAA" w:rsidRDefault="00DF7BAA" w:rsidP="003038CC">
      <w:pPr>
        <w:pStyle w:val="Text2-1"/>
      </w:pPr>
      <w:r>
        <w:t>Projektová dokumentace „</w:t>
      </w:r>
      <w:r w:rsidR="003038CC" w:rsidRPr="003038CC">
        <w:rPr>
          <w:rStyle w:val="Nadpisvtabulce"/>
          <w:b w:val="0"/>
        </w:rPr>
        <w:t>Havlíčkův Brod ST MES oprava (sklady, dílny)</w:t>
      </w:r>
      <w:r w:rsidRPr="00BC51B8">
        <w:t>“</w:t>
      </w:r>
      <w:r>
        <w:t xml:space="preserve">, zpracovatel </w:t>
      </w:r>
      <w:r w:rsidR="003038CC" w:rsidRPr="003038CC">
        <w:t xml:space="preserve">Ing. Petr Myslivec IČ: 66246734, se sídlem </w:t>
      </w:r>
      <w:proofErr w:type="spellStart"/>
      <w:r w:rsidR="003038CC" w:rsidRPr="003038CC">
        <w:t>Waldhauserova</w:t>
      </w:r>
      <w:proofErr w:type="spellEnd"/>
      <w:r w:rsidR="003038CC" w:rsidRPr="003038CC">
        <w:t xml:space="preserve"> 948, 580 01 Havlíčkův Brod</w:t>
      </w:r>
      <w:r>
        <w:t>, datum</w:t>
      </w:r>
      <w:r w:rsidR="005C5372">
        <w:t xml:space="preserve"> </w:t>
      </w:r>
      <w:r w:rsidR="003038CC">
        <w:t>11/2020.</w:t>
      </w:r>
    </w:p>
    <w:p w14:paraId="462EDD0A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t>Související dokumentace</w:t>
      </w:r>
      <w:bookmarkEnd w:id="17"/>
      <w:bookmarkEnd w:id="18"/>
    </w:p>
    <w:p w14:paraId="2896A116" w14:textId="4CE63D0C" w:rsidR="00DF7BAA" w:rsidRDefault="00DF7BAA" w:rsidP="00FD7D95">
      <w:pPr>
        <w:pStyle w:val="Text2-1"/>
      </w:pPr>
      <w:r w:rsidRPr="005C5372">
        <w:t xml:space="preserve">Stavební povolení </w:t>
      </w:r>
      <w:r w:rsidR="003038CC">
        <w:t xml:space="preserve">není vydáno, </w:t>
      </w:r>
      <w:r w:rsidR="00FD7D95">
        <w:t xml:space="preserve">s ohledem na charakter prováděných prací podle § 3 odstavec 4 a § 103 odst. 1 písmeno c) </w:t>
      </w:r>
      <w:r w:rsidR="003038CC">
        <w:t>není nutné</w:t>
      </w:r>
      <w:r w:rsidR="00FD7D95">
        <w:t>.</w:t>
      </w:r>
      <w:r w:rsidRPr="0077778B">
        <w:t xml:space="preserve"> </w:t>
      </w:r>
    </w:p>
    <w:p w14:paraId="5D4B3D46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3BB1050B" w14:textId="59B41E6D" w:rsidR="00DF7BAA" w:rsidRPr="00BC51B8" w:rsidRDefault="00E5550D" w:rsidP="00DF7BAA">
      <w:pPr>
        <w:pStyle w:val="Text2-1"/>
      </w:pPr>
      <w:r>
        <w:t>neobsazeno</w:t>
      </w:r>
    </w:p>
    <w:p w14:paraId="2C39C99E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FF86CD8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lastRenderedPageBreak/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lastRenderedPageBreak/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lastRenderedPageBreak/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7B3851C6" w14:textId="0A6C5688" w:rsidR="00DF7BAA" w:rsidRPr="00FD7D95" w:rsidRDefault="00E5550D" w:rsidP="00DF7BAA">
      <w:pPr>
        <w:pStyle w:val="Text2-1"/>
      </w:pPr>
      <w:r w:rsidRPr="00FD7D95">
        <w:t>neobsazeno</w:t>
      </w:r>
    </w:p>
    <w:p w14:paraId="6428E4DD" w14:textId="0AE2D426" w:rsidR="00DF7BAA" w:rsidRPr="00FD7D95" w:rsidRDefault="00E5550D" w:rsidP="00084867">
      <w:pPr>
        <w:pStyle w:val="Text2-1"/>
      </w:pPr>
      <w:r w:rsidRPr="00FD7D95">
        <w:t>neobsazeno</w:t>
      </w:r>
    </w:p>
    <w:p w14:paraId="3E82339B" w14:textId="040FAC63" w:rsidR="008F5F18" w:rsidRPr="00FD7D95" w:rsidRDefault="00FD7D95" w:rsidP="008F5F18">
      <w:pPr>
        <w:pStyle w:val="Text2-1"/>
        <w:rPr>
          <w:b/>
        </w:rPr>
      </w:pPr>
      <w:r w:rsidRPr="00FD7D95">
        <w:rPr>
          <w:rStyle w:val="Tun"/>
          <w:b w:val="0"/>
        </w:rPr>
        <w:t>neobsazeno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lastRenderedPageBreak/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6B67C16E" w14:textId="18A12CCA" w:rsidR="008F5F18" w:rsidRPr="00FD7D95" w:rsidRDefault="00E5550D" w:rsidP="00084867">
      <w:pPr>
        <w:pStyle w:val="Text2-1"/>
      </w:pPr>
      <w:r w:rsidRPr="00FD7D95">
        <w:t>neobsazeno</w:t>
      </w:r>
    </w:p>
    <w:p w14:paraId="06749678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41BD36A9" w14:textId="6AAE6D0F" w:rsidR="00084867" w:rsidRPr="00FD7D95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FD7D95" w:rsidRPr="00FD7D95">
        <w:t>neobsazeno z důvodu neprovádění zeměměřičské činnosti</w:t>
      </w:r>
      <w:r w:rsidRPr="00FD7D95">
        <w:t xml:space="preserve">.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</w:t>
      </w:r>
      <w:r>
        <w:lastRenderedPageBreak/>
        <w:t xml:space="preserve">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0D7E82ED" w14:textId="78009A86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bookmarkStart w:id="26" w:name="_GoBack"/>
      <w:bookmarkEnd w:id="26"/>
      <w:r>
        <w:t>2. třídu přesnosti.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F448A3" w14:textId="1499222E" w:rsidR="00084867" w:rsidRPr="004E6BE4" w:rsidRDefault="00E5550D" w:rsidP="00084867">
      <w:pPr>
        <w:pStyle w:val="Text2-1"/>
      </w:pPr>
      <w:r w:rsidRPr="004E6BE4">
        <w:t>neobsazeno</w:t>
      </w:r>
    </w:p>
    <w:p w14:paraId="37A604B1" w14:textId="41635449" w:rsidR="00DF7BAA" w:rsidRPr="004E6BE4" w:rsidRDefault="00DF7BAA" w:rsidP="00DF7BAA">
      <w:pPr>
        <w:pStyle w:val="Nadpis2-2"/>
      </w:pPr>
      <w:bookmarkStart w:id="27" w:name="_Toc6410438"/>
      <w:bookmarkStart w:id="28" w:name="_Toc21501953"/>
      <w:r>
        <w:t>Doklady překládané zhotovitelem</w:t>
      </w:r>
      <w:bookmarkEnd w:id="27"/>
      <w:bookmarkEnd w:id="28"/>
      <w:r w:rsidRPr="004E6BE4">
        <w:t xml:space="preserve"> </w:t>
      </w:r>
    </w:p>
    <w:p w14:paraId="178DD7E6" w14:textId="1A96E7EE" w:rsidR="00DF7BAA" w:rsidRPr="00BC51B8" w:rsidRDefault="00DF7BAA" w:rsidP="004E6BE4">
      <w:pPr>
        <w:pStyle w:val="Odrka1-1"/>
        <w:numPr>
          <w:ilvl w:val="0"/>
          <w:numId w:val="0"/>
        </w:numPr>
        <w:spacing w:after="60"/>
        <w:rPr>
          <w:highlight w:val="green"/>
        </w:rPr>
      </w:pPr>
    </w:p>
    <w:p w14:paraId="37A04043" w14:textId="4B4AC79B" w:rsidR="00DF7BAA" w:rsidRPr="004E6BE4" w:rsidRDefault="004E6BE4" w:rsidP="00DF7BAA">
      <w:pPr>
        <w:pStyle w:val="Text2-1"/>
      </w:pPr>
      <w:r w:rsidRPr="004E6BE4">
        <w:t>neobsazeno</w:t>
      </w:r>
      <w:r w:rsidR="00DF7BAA" w:rsidRPr="004E6BE4">
        <w:t xml:space="preserve">  </w:t>
      </w:r>
    </w:p>
    <w:p w14:paraId="13299794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6AD88A9D" w14:textId="19996AB5" w:rsidR="00DF7BAA" w:rsidRPr="004E6BE4" w:rsidRDefault="00130E62" w:rsidP="004E6BE4">
      <w:pPr>
        <w:pStyle w:val="Text2-1"/>
        <w:numPr>
          <w:ilvl w:val="0"/>
          <w:numId w:val="0"/>
        </w:numPr>
        <w:ind w:left="1077"/>
      </w:pPr>
      <w:r w:rsidRPr="004E6BE4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 146/2008 Sb. o rozsahu a obsahu projektové d</w:t>
      </w:r>
      <w:r w:rsidR="00E03B03" w:rsidRPr="004E6BE4">
        <w:t>okumentace dopravních staveb, v </w:t>
      </w:r>
      <w:r w:rsidRPr="004E6BE4">
        <w:t>platném znění, příslušných TKP Staveb státních drah a Směrnice GŘ č. 11/2006 Dokumentace pro přípravu staveb na železničních drahách celostátních a regionálních, v platném znění (</w:t>
      </w:r>
      <w:r w:rsidR="004E6BE4" w:rsidRPr="004E6BE4">
        <w:t>dále „Směrnice GŘ č. 11/2006“)</w:t>
      </w:r>
      <w:r w:rsidR="00DF7BAA" w:rsidRPr="004E6BE4">
        <w:t>.</w:t>
      </w:r>
    </w:p>
    <w:p w14:paraId="2066B1A4" w14:textId="77777777" w:rsidR="00DF7BAA" w:rsidRDefault="00DF7BAA" w:rsidP="00DF7BAA">
      <w:pPr>
        <w:pStyle w:val="Nadpis2-2"/>
      </w:pPr>
      <w:bookmarkStart w:id="31" w:name="_Toc6410440"/>
      <w:bookmarkStart w:id="32" w:name="_Toc21501955"/>
      <w:r>
        <w:t>Dokumentace skutečného provedení stavby</w:t>
      </w:r>
      <w:bookmarkEnd w:id="31"/>
      <w:bookmarkEnd w:id="32"/>
    </w:p>
    <w:p w14:paraId="54F40B0B" w14:textId="77777777" w:rsidR="00DF7BAA" w:rsidRPr="004E6BE4" w:rsidRDefault="00DF7BAA" w:rsidP="00DF7BAA">
      <w:pPr>
        <w:pStyle w:val="Text2-1"/>
      </w:pPr>
      <w:r w:rsidRPr="004E6BE4">
        <w:t>Součástí dokumentace dle skutečného stavu provedení kromě jiného budou:</w:t>
      </w:r>
    </w:p>
    <w:p w14:paraId="31588BB9" w14:textId="77231180" w:rsidR="00DF7BAA" w:rsidRPr="004E6BE4" w:rsidRDefault="004E6BE4" w:rsidP="00DF7BAA">
      <w:pPr>
        <w:pStyle w:val="Odrka1-1"/>
        <w:numPr>
          <w:ilvl w:val="0"/>
          <w:numId w:val="5"/>
        </w:numPr>
        <w:spacing w:after="60"/>
      </w:pPr>
      <w:r w:rsidRPr="004E6BE4">
        <w:t>Platné revize zpracované revizním technikem s oprávnění Drážního úřadu a vystavené průkazy Určených technických zařízení dotčených stavbou.</w:t>
      </w:r>
    </w:p>
    <w:p w14:paraId="50ED4617" w14:textId="77777777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39A6C8A8" w14:textId="1320DB34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4E6CA8E0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39977D08" w14:textId="2FC66C35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3A465B7" w14:textId="77777777" w:rsidR="00DF7BAA" w:rsidRDefault="00DF7BAA" w:rsidP="00DF7BAA">
      <w:pPr>
        <w:pStyle w:val="Nadpis2-2"/>
      </w:pPr>
      <w:bookmarkStart w:id="37" w:name="_Toc6410443"/>
      <w:bookmarkStart w:id="38" w:name="_Toc21501958"/>
      <w:r>
        <w:t>Silnoproudá technologie včetně DŘT, trakční a energetická zařízení</w:t>
      </w:r>
      <w:bookmarkEnd w:id="37"/>
      <w:bookmarkEnd w:id="38"/>
    </w:p>
    <w:p w14:paraId="54DECDBC" w14:textId="645F4653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2877E3E" w14:textId="77777777" w:rsidR="00DF7BAA" w:rsidRDefault="00DF7BAA" w:rsidP="00DF7BAA">
      <w:pPr>
        <w:pStyle w:val="Nadpis2-2"/>
      </w:pPr>
      <w:bookmarkStart w:id="39" w:name="_Toc6410444"/>
      <w:bookmarkStart w:id="40" w:name="_Toc21501959"/>
      <w:r>
        <w:t>Ostatní technologická zařízení</w:t>
      </w:r>
      <w:bookmarkEnd w:id="39"/>
      <w:bookmarkEnd w:id="40"/>
    </w:p>
    <w:p w14:paraId="2302B4F1" w14:textId="7936B83F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39E43FA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lastRenderedPageBreak/>
        <w:t>Železniční svršek</w:t>
      </w:r>
      <w:bookmarkEnd w:id="41"/>
      <w:r>
        <w:t xml:space="preserve"> </w:t>
      </w:r>
      <w:bookmarkEnd w:id="42"/>
    </w:p>
    <w:p w14:paraId="046B63DC" w14:textId="4097EE99" w:rsidR="00DF7BAA" w:rsidRDefault="004E6BE4" w:rsidP="00DF7BAA">
      <w:pPr>
        <w:pStyle w:val="Text2-1"/>
      </w:pPr>
      <w:r>
        <w:t xml:space="preserve">Neobsazeno. </w:t>
      </w:r>
    </w:p>
    <w:p w14:paraId="5C9A35F6" w14:textId="77777777" w:rsidR="00DF7BAA" w:rsidRPr="004E6BE4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t xml:space="preserve">Centrální </w:t>
      </w:r>
      <w:r w:rsidRPr="004E6BE4">
        <w:rPr>
          <w:rStyle w:val="Tun"/>
        </w:rPr>
        <w:t>nákup materiálu</w:t>
      </w:r>
    </w:p>
    <w:p w14:paraId="6AAB4ED3" w14:textId="270CC597" w:rsidR="00DF7BAA" w:rsidRPr="00BC28E8" w:rsidRDefault="00BC28E8" w:rsidP="00DF7BAA">
      <w:pPr>
        <w:pStyle w:val="Text2-2"/>
        <w:rPr>
          <w:b/>
        </w:rPr>
      </w:pPr>
      <w:r w:rsidRPr="00BC28E8">
        <w:rPr>
          <w:rStyle w:val="Tun"/>
          <w:b w:val="0"/>
        </w:rPr>
        <w:t>neobsazeno</w:t>
      </w:r>
      <w:r w:rsidR="00DF7BAA" w:rsidRPr="00BC28E8">
        <w:rPr>
          <w:b/>
        </w:rPr>
        <w:t xml:space="preserve">. </w:t>
      </w:r>
    </w:p>
    <w:p w14:paraId="64C186CA" w14:textId="775D2A3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6F5CD935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5805C0B0" w14:textId="4BD39276" w:rsidR="00DF7BAA" w:rsidRDefault="00BC28E8" w:rsidP="00DF7BAA">
      <w:pPr>
        <w:pStyle w:val="Text2-1"/>
      </w:pPr>
      <w:r>
        <w:t xml:space="preserve">neobsazeno </w:t>
      </w:r>
    </w:p>
    <w:p w14:paraId="6FBDF248" w14:textId="39901CDC" w:rsidR="00DF7BAA" w:rsidRDefault="00DF7BAA" w:rsidP="00DF7BAA">
      <w:pPr>
        <w:pStyle w:val="Nadpis2-2"/>
      </w:pPr>
      <w:bookmarkStart w:id="45" w:name="_Toc6410447"/>
      <w:bookmarkStart w:id="46" w:name="_Toc21501962"/>
      <w:r>
        <w:t>Nástupiště</w:t>
      </w:r>
      <w:bookmarkEnd w:id="45"/>
      <w:bookmarkEnd w:id="46"/>
    </w:p>
    <w:p w14:paraId="6504A5E5" w14:textId="35F481F5" w:rsidR="00DF7BAA" w:rsidRDefault="00BC28E8" w:rsidP="00DF7BAA">
      <w:pPr>
        <w:pStyle w:val="Text2-1"/>
      </w:pPr>
      <w:r>
        <w:t xml:space="preserve">neobsazeno </w:t>
      </w:r>
    </w:p>
    <w:p w14:paraId="7E5D3833" w14:textId="334CB329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941FFF3" w14:textId="16C8122C" w:rsidR="00DF7BAA" w:rsidRDefault="00BC28E8" w:rsidP="00DF7BAA">
      <w:pPr>
        <w:pStyle w:val="Text2-1"/>
      </w:pPr>
      <w:r>
        <w:t xml:space="preserve">neobsazeno </w:t>
      </w:r>
    </w:p>
    <w:p w14:paraId="5404FE32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5E9893BD" w14:textId="476C4E72" w:rsidR="00DF7BAA" w:rsidRDefault="00BC28E8" w:rsidP="00DF7BAA">
      <w:pPr>
        <w:pStyle w:val="Text2-1"/>
      </w:pPr>
      <w:r>
        <w:t xml:space="preserve">neobsazeno </w:t>
      </w:r>
    </w:p>
    <w:p w14:paraId="1E688FC1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C5FADA4" w14:textId="740D1FE3" w:rsidR="00DF7BAA" w:rsidRDefault="00BC28E8" w:rsidP="00DF7BAA">
      <w:pPr>
        <w:pStyle w:val="Text2-1"/>
      </w:pPr>
      <w:r>
        <w:t xml:space="preserve">neobsazeno </w:t>
      </w:r>
    </w:p>
    <w:p w14:paraId="6D952DD7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F0C72F7" w14:textId="17B0A67F" w:rsidR="00DF7BAA" w:rsidRDefault="00BC28E8" w:rsidP="00DF7BAA">
      <w:pPr>
        <w:pStyle w:val="Text2-1"/>
      </w:pPr>
      <w:r>
        <w:t xml:space="preserve">neobsazeno </w:t>
      </w:r>
    </w:p>
    <w:p w14:paraId="6BA329E5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D8B30EC" w14:textId="7CD01C58" w:rsidR="00DF7BAA" w:rsidRDefault="00BC28E8" w:rsidP="00DF7BAA">
      <w:pPr>
        <w:pStyle w:val="Text2-1"/>
      </w:pPr>
      <w:r>
        <w:t xml:space="preserve">neobsazeno </w:t>
      </w:r>
    </w:p>
    <w:p w14:paraId="0FE0BBF5" w14:textId="77777777" w:rsidR="00DF7BAA" w:rsidRDefault="00DF7BAA" w:rsidP="00DF7BAA">
      <w:pPr>
        <w:pStyle w:val="Nadpis2-2"/>
      </w:pPr>
      <w:bookmarkStart w:id="57" w:name="_Toc6410453"/>
      <w:bookmarkStart w:id="58" w:name="_Toc21501968"/>
      <w:proofErr w:type="spellStart"/>
      <w:r>
        <w:t>Kabelovody</w:t>
      </w:r>
      <w:proofErr w:type="spellEnd"/>
      <w:r>
        <w:t>, kolektory</w:t>
      </w:r>
      <w:bookmarkEnd w:id="57"/>
      <w:bookmarkEnd w:id="58"/>
    </w:p>
    <w:p w14:paraId="3B9760F9" w14:textId="25D2C42F" w:rsidR="00DF7BAA" w:rsidRDefault="00BC28E8" w:rsidP="00DF7BAA">
      <w:pPr>
        <w:pStyle w:val="Text2-1"/>
      </w:pPr>
      <w:r>
        <w:t xml:space="preserve">neobsazeno </w:t>
      </w:r>
    </w:p>
    <w:p w14:paraId="3970086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19FFFA84" w14:textId="33D73B70" w:rsidR="00DF7BAA" w:rsidRDefault="00BC28E8" w:rsidP="00DF7BAA">
      <w:pPr>
        <w:pStyle w:val="Text2-1"/>
      </w:pPr>
      <w:r>
        <w:t xml:space="preserve">neobsazeno </w:t>
      </w:r>
    </w:p>
    <w:p w14:paraId="0C3A6748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t>Pozemní stavební objekty</w:t>
      </w:r>
      <w:bookmarkEnd w:id="61"/>
      <w:bookmarkEnd w:id="62"/>
    </w:p>
    <w:p w14:paraId="3798FA04" w14:textId="1FBDECBE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02BC4286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t>Trakční a energická zařízení</w:t>
      </w:r>
      <w:bookmarkEnd w:id="63"/>
      <w:bookmarkEnd w:id="64"/>
    </w:p>
    <w:p w14:paraId="0B50C4B5" w14:textId="67ABBCF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349705CF" w14:textId="77777777" w:rsidR="00DF7BAA" w:rsidRDefault="00DF7BAA" w:rsidP="00DF7BAA">
      <w:pPr>
        <w:pStyle w:val="Nadpis2-2"/>
      </w:pPr>
      <w:bookmarkStart w:id="65" w:name="_Toc6410457"/>
      <w:bookmarkStart w:id="66" w:name="_Toc21501972"/>
      <w:r>
        <w:t>Vyzískaný materiál</w:t>
      </w:r>
      <w:bookmarkEnd w:id="65"/>
      <w:bookmarkEnd w:id="66"/>
    </w:p>
    <w:p w14:paraId="20C6AD8F" w14:textId="301CDD21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BC28E8">
        <w:t>neobsazeno</w:t>
      </w:r>
      <w:r w:rsidR="00DF7BAA">
        <w:t xml:space="preserve"> </w:t>
      </w:r>
    </w:p>
    <w:p w14:paraId="00FD099A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145D6852" w14:textId="77777777" w:rsidR="00BF2861" w:rsidRPr="00BC28E8" w:rsidRDefault="00BF2861" w:rsidP="00BF2861">
      <w:pPr>
        <w:pStyle w:val="Text2-1"/>
        <w:rPr>
          <w:rStyle w:val="Tun"/>
        </w:rPr>
      </w:pPr>
      <w:r w:rsidRPr="00BC28E8">
        <w:rPr>
          <w:rStyle w:val="Tun"/>
        </w:rPr>
        <w:t xml:space="preserve">Nakládání s odpady </w:t>
      </w:r>
    </w:p>
    <w:p w14:paraId="5E77C449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BC28E8">
        <w:t xml:space="preserve">   </w:t>
      </w:r>
    </w:p>
    <w:p w14:paraId="33B20712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 xml:space="preserve">Polohy a vzdálenosti skládek pro likvidaci odpadů uvedené v Projektové dokumentaci jsou pouze informativní a slouží pro interní potřeby Objednatele a stavebního řízení. Umístění skládek není </w:t>
      </w:r>
      <w:r w:rsidRPr="00BC28E8">
        <w:rPr>
          <w:rStyle w:val="Tun"/>
        </w:rPr>
        <w:lastRenderedPageBreak/>
        <w:t>podkladem pro výběrové řízení na zhotovitele stavby, má tedy pouze informativní charakter.</w:t>
      </w:r>
      <w:r w:rsidRPr="00BC28E8">
        <w:t xml:space="preserve"> </w:t>
      </w:r>
    </w:p>
    <w:p w14:paraId="4FC60A0A" w14:textId="77777777" w:rsidR="00BF2861" w:rsidRPr="00BC28E8" w:rsidRDefault="00BF2861" w:rsidP="00BF2861">
      <w:pPr>
        <w:pStyle w:val="Text2-2"/>
      </w:pPr>
      <w:r w:rsidRPr="00BC28E8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7B7C0CED" w14:textId="77777777" w:rsidR="00BF2861" w:rsidRPr="00BC28E8" w:rsidRDefault="00BF2861" w:rsidP="00BF2861">
      <w:pPr>
        <w:pStyle w:val="Text2-2"/>
      </w:pPr>
      <w:r w:rsidRPr="00BC28E8">
        <w:t xml:space="preserve">Ceny Zhotovitele pro „Likvidaci odpadu včetně dopravy“ lze využít do množství odpadu v dané kategorii navýšené o 20%. V případě, kdy množství odpadu v daném druhu odpadu překročí 20%, má Objednatel možnost požadovat po Zhotoviteli individuální kalkulaci, příp. si zajistit likvidaci odpadu sám. </w:t>
      </w:r>
    </w:p>
    <w:p w14:paraId="6108E47F" w14:textId="77777777" w:rsidR="00BF2861" w:rsidRPr="00BC28E8" w:rsidRDefault="00BF2861" w:rsidP="00BF2861">
      <w:pPr>
        <w:pStyle w:val="Text2-2"/>
      </w:pPr>
      <w:r w:rsidRPr="00BC28E8">
        <w:t xml:space="preserve">Správce stavby v průběhu zhotovení stavby oznámí Zhotoviteli, zda si vícepráce nad 20%, každé jedné kategorii odpadu - položce SO 90-90, vztahující se k „Likvidaci odpadů včetně dopravy“ zajistí sám. </w:t>
      </w:r>
    </w:p>
    <w:p w14:paraId="2D32B47B" w14:textId="77777777" w:rsidR="00BF2861" w:rsidRPr="00BC28E8" w:rsidRDefault="00BF2861" w:rsidP="00BF2861">
      <w:pPr>
        <w:pStyle w:val="Text2-2"/>
      </w:pPr>
      <w:r w:rsidRPr="00BC28E8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4E0CB51" w14:textId="5237ED22" w:rsidR="00DF7BAA" w:rsidRPr="00BC28E8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3FCC9B0C" w14:textId="29DF199D" w:rsidR="00DF7BAA" w:rsidRDefault="00DF7BAA" w:rsidP="00DF7BAA">
      <w:pPr>
        <w:pStyle w:val="Textbezslovn"/>
      </w:pPr>
      <w:r w:rsidRPr="0025621B">
        <w:t>Datum ukončení stavby je závislé na termínu zahájení stavebních prací</w:t>
      </w:r>
    </w:p>
    <w:p w14:paraId="00070F04" w14:textId="5DC14C2B" w:rsidR="00DF7BAA" w:rsidRDefault="0025621B" w:rsidP="00DF7BAA">
      <w:pPr>
        <w:pStyle w:val="Text2-1"/>
      </w:pPr>
      <w:r>
        <w:t>Termín pro předání všech podkladů dokladové části a projektu skutečného provedení stavby je do dvou měsíců po předání stavby objednateli</w:t>
      </w:r>
      <w:r w:rsidR="00DF7BAA">
        <w:t>.</w:t>
      </w:r>
    </w:p>
    <w:p w14:paraId="29D7C88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t>PŘÍLOHY</w:t>
      </w:r>
      <w:bookmarkEnd w:id="73"/>
      <w:bookmarkEnd w:id="74"/>
    </w:p>
    <w:p w14:paraId="60FB3451" w14:textId="1A42C66A" w:rsidR="00DF7BAA" w:rsidRPr="0025621B" w:rsidRDefault="00FD7D95" w:rsidP="00DF7BAA">
      <w:pPr>
        <w:pStyle w:val="Text2-1"/>
      </w:pPr>
      <w:r w:rsidRPr="0025621B">
        <w:t>Neobsazeno.</w:t>
      </w:r>
    </w:p>
    <w:p w14:paraId="2012FCD7" w14:textId="7408ABC6" w:rsidR="00DF7BAA" w:rsidRDefault="00FD7D95" w:rsidP="00DF7BAA">
      <w:pPr>
        <w:pStyle w:val="Text2-1"/>
      </w:pPr>
      <w:r>
        <w:t>neobsazeno</w:t>
      </w:r>
      <w:r w:rsidR="00DF7BAA" w:rsidRPr="00EC2E51">
        <w:t>.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B6D8B" w14:textId="77777777" w:rsidR="00D250E4" w:rsidRDefault="00D250E4" w:rsidP="00962258">
      <w:pPr>
        <w:spacing w:after="0" w:line="240" w:lineRule="auto"/>
      </w:pPr>
      <w:r>
        <w:separator/>
      </w:r>
    </w:p>
  </w:endnote>
  <w:endnote w:type="continuationSeparator" w:id="0">
    <w:p w14:paraId="13FA3024" w14:textId="77777777" w:rsidR="00D250E4" w:rsidRDefault="00D250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550D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7986596A" w:rsidR="00E5550D" w:rsidRPr="0041550A" w:rsidRDefault="00E5550D" w:rsidP="00614E71">
          <w:pPr>
            <w:pStyle w:val="Zpat"/>
            <w:rPr>
              <w:rStyle w:val="slostrnky"/>
            </w:rPr>
          </w:pP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>PAGE   \* MERGEFORMAT</w:instrText>
          </w:r>
          <w:r w:rsidRPr="0041550A">
            <w:rPr>
              <w:rStyle w:val="slostrnky"/>
            </w:rPr>
            <w:fldChar w:fldCharType="separate"/>
          </w:r>
          <w:r w:rsidR="006363C5">
            <w:rPr>
              <w:rStyle w:val="slostrnky"/>
              <w:noProof/>
            </w:rPr>
            <w:t>12</w:t>
          </w:r>
          <w:r w:rsidRPr="0041550A">
            <w:rPr>
              <w:rStyle w:val="slostrnky"/>
            </w:rPr>
            <w:fldChar w:fldCharType="end"/>
          </w:r>
          <w:r w:rsidRPr="0041550A">
            <w:rPr>
              <w:rStyle w:val="slostrnky"/>
            </w:rPr>
            <w:t>/</w:t>
          </w: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 xml:space="preserve"> NUMPAGES   \* MERGEFORMAT </w:instrText>
          </w:r>
          <w:r w:rsidRPr="0041550A">
            <w:rPr>
              <w:rStyle w:val="slostrnky"/>
            </w:rPr>
            <w:fldChar w:fldCharType="separate"/>
          </w:r>
          <w:r w:rsidR="006363C5">
            <w:rPr>
              <w:rStyle w:val="slostrnky"/>
              <w:noProof/>
            </w:rPr>
            <w:t>12</w:t>
          </w:r>
          <w:r w:rsidRPr="0041550A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40D8C20D" w:rsidR="00E5550D" w:rsidRPr="0041550A" w:rsidRDefault="00D250E4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363C5">
            <w:rPr>
              <w:noProof/>
            </w:rPr>
            <w:t>Havlíčkův Brod ST MES oprava (dílny, sklady)</w:t>
          </w:r>
          <w:r>
            <w:rPr>
              <w:noProof/>
            </w:rPr>
            <w:fldChar w:fldCharType="end"/>
          </w:r>
        </w:p>
        <w:p w14:paraId="7F468745" w14:textId="77777777" w:rsidR="00E5550D" w:rsidRPr="0041550A" w:rsidRDefault="00E5550D" w:rsidP="003462EB">
          <w:pPr>
            <w:pStyle w:val="Zpatvlevo"/>
          </w:pPr>
          <w:r w:rsidRPr="0041550A">
            <w:t xml:space="preserve">Příloha č. 2 c) </w:t>
          </w:r>
        </w:p>
        <w:p w14:paraId="4FC04CB0" w14:textId="77777777" w:rsidR="00E5550D" w:rsidRPr="0041550A" w:rsidRDefault="00E5550D" w:rsidP="00DF7BAA">
          <w:pPr>
            <w:pStyle w:val="Zpatvlevo"/>
          </w:pPr>
          <w:r w:rsidRPr="0041550A">
            <w:t xml:space="preserve">Zvláštní technické podmínky - Zhotovení stavby </w:t>
          </w:r>
        </w:p>
      </w:tc>
    </w:tr>
  </w:tbl>
  <w:p w14:paraId="17B56569" w14:textId="77777777" w:rsidR="00E5550D" w:rsidRPr="00614E71" w:rsidRDefault="00E555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550D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3D5D39CD" w:rsidR="00E5550D" w:rsidRPr="00C66884" w:rsidRDefault="00D250E4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6363C5">
            <w:rPr>
              <w:noProof/>
            </w:rPr>
            <w:t>Havlíčkův Brod ST MES oprava (dílny, sklady)</w:t>
          </w:r>
          <w:r>
            <w:rPr>
              <w:noProof/>
            </w:rPr>
            <w:fldChar w:fldCharType="end"/>
          </w:r>
        </w:p>
        <w:p w14:paraId="5E1D2D32" w14:textId="77777777" w:rsidR="00E5550D" w:rsidRPr="00C66884" w:rsidRDefault="00E5550D" w:rsidP="003B111D">
          <w:pPr>
            <w:pStyle w:val="Zpatvpravo"/>
          </w:pPr>
          <w:r w:rsidRPr="00C66884">
            <w:t>Příloha č. 2 c)</w:t>
          </w:r>
        </w:p>
        <w:p w14:paraId="205BC769" w14:textId="77777777" w:rsidR="00E5550D" w:rsidRPr="00C66884" w:rsidRDefault="00E555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688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2424527D" w:rsidR="00E5550D" w:rsidRPr="00C66884" w:rsidRDefault="00E5550D" w:rsidP="006A10C4">
          <w:pPr>
            <w:pStyle w:val="Zpatvlevo"/>
            <w:jc w:val="right"/>
          </w:pP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>PAGE   \* MERGEFORMAT</w:instrText>
          </w:r>
          <w:r w:rsidRPr="00C66884">
            <w:rPr>
              <w:rStyle w:val="slostrnky"/>
            </w:rPr>
            <w:fldChar w:fldCharType="separate"/>
          </w:r>
          <w:r w:rsidR="006363C5">
            <w:rPr>
              <w:rStyle w:val="slostrnky"/>
              <w:noProof/>
            </w:rPr>
            <w:t>11</w:t>
          </w:r>
          <w:r w:rsidRPr="00C66884">
            <w:rPr>
              <w:rStyle w:val="slostrnky"/>
            </w:rPr>
            <w:fldChar w:fldCharType="end"/>
          </w:r>
          <w:r w:rsidRPr="00C66884">
            <w:rPr>
              <w:rStyle w:val="slostrnky"/>
            </w:rPr>
            <w:t>/</w:t>
          </w: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 xml:space="preserve"> NUMPAGES   \* MERGEFORMAT </w:instrText>
          </w:r>
          <w:r w:rsidRPr="00C66884">
            <w:rPr>
              <w:rStyle w:val="slostrnky"/>
            </w:rPr>
            <w:fldChar w:fldCharType="separate"/>
          </w:r>
          <w:r w:rsidR="006363C5">
            <w:rPr>
              <w:rStyle w:val="slostrnky"/>
              <w:noProof/>
            </w:rPr>
            <w:t>12</w:t>
          </w:r>
          <w:r w:rsidRPr="00C66884">
            <w:rPr>
              <w:rStyle w:val="slostrnky"/>
            </w:rPr>
            <w:fldChar w:fldCharType="end"/>
          </w:r>
        </w:p>
      </w:tc>
    </w:tr>
  </w:tbl>
  <w:p w14:paraId="6435253F" w14:textId="77777777" w:rsidR="00E5550D" w:rsidRPr="00B8518B" w:rsidRDefault="00E555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5550D" w:rsidRPr="00B8518B" w:rsidRDefault="00E5550D" w:rsidP="00460660">
    <w:pPr>
      <w:pStyle w:val="Zpat"/>
      <w:rPr>
        <w:sz w:val="2"/>
        <w:szCs w:val="2"/>
      </w:rPr>
    </w:pPr>
  </w:p>
  <w:p w14:paraId="0C534B82" w14:textId="77777777" w:rsidR="00E5550D" w:rsidRDefault="00E5550D" w:rsidP="00054FC6">
    <w:pPr>
      <w:pStyle w:val="Zpat"/>
      <w:rPr>
        <w:rFonts w:cs="Calibri"/>
        <w:szCs w:val="12"/>
      </w:rPr>
    </w:pPr>
  </w:p>
  <w:p w14:paraId="72845FD6" w14:textId="77777777" w:rsidR="00E5550D" w:rsidRPr="005D19D8" w:rsidRDefault="00E5550D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5550D" w:rsidRPr="00460660" w:rsidRDefault="00E555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2BC88" w14:textId="77777777" w:rsidR="00D250E4" w:rsidRDefault="00D250E4" w:rsidP="00962258">
      <w:pPr>
        <w:spacing w:after="0" w:line="240" w:lineRule="auto"/>
      </w:pPr>
      <w:r>
        <w:separator/>
      </w:r>
    </w:p>
  </w:footnote>
  <w:footnote w:type="continuationSeparator" w:id="0">
    <w:p w14:paraId="2E23E5C3" w14:textId="77777777" w:rsidR="00D250E4" w:rsidRDefault="00D250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5550D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5550D" w:rsidRPr="006A10C4" w:rsidRDefault="00E555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5550D" w:rsidRPr="006A10C4" w:rsidRDefault="00E5550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4CE49ED7" w14:textId="77777777" w:rsidR="00E5550D" w:rsidRPr="00D6163D" w:rsidRDefault="00E555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550D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5550D" w:rsidRPr="006A10C4" w:rsidRDefault="00E555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5550D" w:rsidRPr="006A10C4" w:rsidRDefault="00E5550D" w:rsidP="006A10C4">
          <w:pPr>
            <w:pStyle w:val="Druhdokumentu"/>
            <w:spacing w:after="0"/>
          </w:pPr>
        </w:p>
      </w:tc>
    </w:tr>
    <w:tr w:rsidR="00E5550D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5550D" w:rsidRPr="006A10C4" w:rsidRDefault="00E555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22594FAA" w14:textId="77777777" w:rsidR="00E5550D" w:rsidRPr="00D6163D" w:rsidRDefault="00E5550D" w:rsidP="00FC6389">
    <w:pPr>
      <w:pStyle w:val="Zhlav"/>
      <w:rPr>
        <w:sz w:val="8"/>
        <w:szCs w:val="8"/>
      </w:rPr>
    </w:pPr>
  </w:p>
  <w:p w14:paraId="5751DFB5" w14:textId="77777777" w:rsidR="00E5550D" w:rsidRPr="00460660" w:rsidRDefault="00E555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098"/>
        </w:tabs>
        <w:ind w:left="2098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5621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38CC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1550A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6BE4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363C5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3455"/>
    <w:rsid w:val="00B8518B"/>
    <w:rsid w:val="00B861EA"/>
    <w:rsid w:val="00B9150D"/>
    <w:rsid w:val="00B93566"/>
    <w:rsid w:val="00B95AB6"/>
    <w:rsid w:val="00B97CC3"/>
    <w:rsid w:val="00BC0405"/>
    <w:rsid w:val="00BC06C4"/>
    <w:rsid w:val="00BC28E8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66884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250E4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5550D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D17E0"/>
    <w:rsid w:val="00FD7D9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  <w:tabs>
        <w:tab w:val="clear" w:pos="2098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39</TotalTime>
  <Pages>12</Pages>
  <Words>3857</Words>
  <Characters>22762</Characters>
  <Application>Microsoft Office Word</Application>
  <DocSecurity>0</DocSecurity>
  <Lines>189</Lines>
  <Paragraphs>53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26566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Gregorová Elena, Ing.</cp:lastModifiedBy>
  <cp:revision>12</cp:revision>
  <cp:lastPrinted>2019-03-07T15:42:00Z</cp:lastPrinted>
  <dcterms:created xsi:type="dcterms:W3CDTF">2021-01-14T08:50:00Z</dcterms:created>
  <dcterms:modified xsi:type="dcterms:W3CDTF">2021-03-02T08:29:00Z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