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982274179"/>
        <w:docPartObj>
          <w:docPartGallery w:val="Cover Pages"/>
          <w:docPartUnique/>
        </w:docPartObj>
      </w:sdtPr>
      <w:sdtEndPr/>
      <w:sdtContent>
        <w:p w:rsidR="00F76389" w:rsidRDefault="00F76389" w:rsidP="00F76389">
          <w:pPr>
            <w:jc w:val="center"/>
            <w:rPr>
              <w:b/>
              <w:sz w:val="36"/>
            </w:rPr>
          </w:pPr>
          <w:r>
            <w:rPr>
              <w:b/>
              <w:sz w:val="32"/>
            </w:rPr>
            <w:t>Studie „Koncepce přechodu na jednotnou napájecí soustavu ve vazbě na priority programového období 2014-2020 a naplnění požadavků TSI ENE“</w:t>
          </w:r>
        </w:p>
        <w:p w:rsidR="00F76389" w:rsidRDefault="00F76389" w:rsidP="00F76389"/>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Pr="002E09BE" w:rsidRDefault="009C653E" w:rsidP="009C653E">
          <w:pPr>
            <w:pStyle w:val="Odstavecseseznamem"/>
            <w:numPr>
              <w:ilvl w:val="0"/>
              <w:numId w:val="27"/>
            </w:numPr>
            <w:rPr>
              <w:b/>
              <w:color w:val="95B3D7" w:themeColor="accent1" w:themeTint="99"/>
              <w:sz w:val="52"/>
              <w:szCs w:val="52"/>
            </w:rPr>
          </w:pPr>
          <w:r>
            <w:rPr>
              <w:b/>
              <w:color w:val="95B3D7" w:themeColor="accent1" w:themeTint="99"/>
              <w:sz w:val="52"/>
              <w:szCs w:val="52"/>
            </w:rPr>
            <w:t>TECHNICKÉ ŘEŠENÍ</w:t>
          </w:r>
        </w:p>
        <w:p w:rsidR="00F76389" w:rsidRDefault="00F76389" w:rsidP="00F76389">
          <w:pPr>
            <w:pStyle w:val="Odstavecseseznamem"/>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jc w:val="center"/>
          </w:pPr>
        </w:p>
        <w:p w:rsidR="00F76389" w:rsidRDefault="00F76389" w:rsidP="00F76389">
          <w:pPr>
            <w:rPr>
              <w:b/>
            </w:rPr>
          </w:pPr>
          <w:r>
            <w:rPr>
              <w:i/>
            </w:rPr>
            <w:t>Objednatel</w:t>
          </w:r>
          <w:r>
            <w:tab/>
          </w:r>
          <w:r>
            <w:tab/>
          </w:r>
          <w:r>
            <w:rPr>
              <w:b/>
              <w:sz w:val="28"/>
            </w:rPr>
            <w:t>Česká republika – Ministerstvo dopravy</w:t>
          </w:r>
        </w:p>
        <w:p w:rsidR="00F76389" w:rsidRDefault="00F76389" w:rsidP="00F76389">
          <w:pPr>
            <w:rPr>
              <w:b/>
              <w:sz w:val="28"/>
            </w:rPr>
          </w:pPr>
          <w:r>
            <w:rPr>
              <w:i/>
            </w:rPr>
            <w:t>Zpracovatel</w:t>
          </w:r>
          <w:r>
            <w:tab/>
          </w:r>
          <w:r>
            <w:tab/>
          </w:r>
          <w:r>
            <w:rPr>
              <w:b/>
              <w:sz w:val="28"/>
            </w:rPr>
            <w:t>SUDOP Praha a. s.</w:t>
          </w:r>
        </w:p>
        <w:p w:rsidR="004D1A93" w:rsidRDefault="00F76389">
          <w:r>
            <w:rPr>
              <w:b/>
              <w:sz w:val="28"/>
            </w:rPr>
            <w:tab/>
          </w:r>
          <w:r>
            <w:rPr>
              <w:b/>
              <w:sz w:val="28"/>
            </w:rPr>
            <w:tab/>
          </w:r>
          <w:r>
            <w:rPr>
              <w:b/>
              <w:sz w:val="28"/>
            </w:rPr>
            <w:tab/>
            <w:t>SUDOP Brno, spol.sr.o.</w:t>
          </w:r>
        </w:p>
        <w:tbl>
          <w:tblPr>
            <w:tblpPr w:leftFromText="187" w:rightFromText="187" w:horzAnchor="margin" w:tblpXSpec="center" w:tblpYSpec="bottom"/>
            <w:tblW w:w="5000" w:type="pct"/>
            <w:tblLook w:val="04A0" w:firstRow="1" w:lastRow="0" w:firstColumn="1" w:lastColumn="0" w:noHBand="0" w:noVBand="1"/>
          </w:tblPr>
          <w:tblGrid>
            <w:gridCol w:w="9242"/>
          </w:tblGrid>
          <w:tr w:rsidR="004D1A93">
            <w:tc>
              <w:tcPr>
                <w:tcW w:w="5000" w:type="pct"/>
              </w:tcPr>
              <w:p w:rsidR="004D1A93" w:rsidRDefault="004D1A93">
                <w:pPr>
                  <w:pStyle w:val="Bezmezer"/>
                </w:pPr>
              </w:p>
            </w:tc>
          </w:tr>
        </w:tbl>
        <w:p w:rsidR="004D1A93" w:rsidRDefault="004D1A93"/>
        <w:p w:rsidR="00F76389" w:rsidRDefault="00F76389" w:rsidP="00F76389">
          <w:pPr>
            <w:spacing w:after="0" w:line="240" w:lineRule="auto"/>
            <w:ind w:firstLine="567"/>
            <w:jc w:val="both"/>
            <w:rPr>
              <w:rFonts w:ascii="Times New Roman" w:eastAsia="Times New Roman" w:hAnsi="Times New Roman" w:cs="Times New Roman"/>
              <w:b/>
              <w:sz w:val="28"/>
              <w:szCs w:val="20"/>
            </w:rPr>
          </w:pPr>
        </w:p>
        <w:p w:rsidR="00F76389" w:rsidRPr="00146EE9" w:rsidRDefault="00F76389" w:rsidP="00F76389">
          <w:pPr>
            <w:spacing w:after="0" w:line="240" w:lineRule="auto"/>
            <w:ind w:firstLine="567"/>
            <w:jc w:val="both"/>
            <w:rPr>
              <w:rFonts w:eastAsia="Times New Roman" w:cs="Times New Roman"/>
              <w:b/>
              <w:sz w:val="28"/>
              <w:szCs w:val="20"/>
            </w:rPr>
          </w:pPr>
          <w:r w:rsidRPr="00146EE9">
            <w:rPr>
              <w:rFonts w:eastAsia="Times New Roman" w:cs="Times New Roman"/>
              <w:b/>
              <w:sz w:val="28"/>
              <w:szCs w:val="20"/>
            </w:rPr>
            <w:t>Objednatel:</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 xml:space="preserve">Česká republika – Ministerstvo dopravy </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nábřeží Ludvíka Svobody 1222</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110 15 Praha 1</w:t>
          </w:r>
        </w:p>
        <w:p w:rsidR="00F76389" w:rsidRPr="00146EE9" w:rsidRDefault="00F76389" w:rsidP="00F76389">
          <w:pPr>
            <w:spacing w:after="0" w:line="240" w:lineRule="auto"/>
            <w:ind w:firstLine="567"/>
            <w:jc w:val="both"/>
            <w:rPr>
              <w:rFonts w:eastAsia="Times New Roman" w:cs="Times New Roman"/>
              <w:sz w:val="28"/>
              <w:szCs w:val="20"/>
            </w:rPr>
          </w:pPr>
        </w:p>
        <w:p w:rsidR="00F76389" w:rsidRPr="00146EE9" w:rsidRDefault="00F76389" w:rsidP="00F76389">
          <w:pPr>
            <w:spacing w:after="0" w:line="240" w:lineRule="auto"/>
            <w:ind w:firstLine="567"/>
            <w:jc w:val="both"/>
            <w:rPr>
              <w:rFonts w:eastAsia="Times New Roman" w:cs="Times New Roman"/>
              <w:b/>
              <w:sz w:val="28"/>
              <w:szCs w:val="20"/>
            </w:rPr>
          </w:pPr>
          <w:r w:rsidRPr="00146EE9">
            <w:rPr>
              <w:rFonts w:eastAsia="Times New Roman" w:cs="Times New Roman"/>
              <w:b/>
              <w:sz w:val="28"/>
              <w:szCs w:val="20"/>
            </w:rPr>
            <w:t>Zhotovitel:</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SUDOP PRAHA a.s</w:t>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 xml:space="preserve">Olšanská 1a </w:t>
          </w:r>
        </w:p>
        <w:p w:rsidR="00F76389" w:rsidRPr="00146EE9" w:rsidRDefault="00F76389" w:rsidP="00F76389">
          <w:pPr>
            <w:spacing w:after="0" w:line="240" w:lineRule="auto"/>
            <w:ind w:firstLine="567"/>
            <w:jc w:val="both"/>
            <w:rPr>
              <w:rFonts w:eastAsia="Times New Roman" w:cs="Times New Roman"/>
              <w:sz w:val="24"/>
              <w:szCs w:val="20"/>
            </w:rPr>
          </w:pPr>
          <w:r w:rsidRPr="00146EE9">
            <w:rPr>
              <w:rFonts w:eastAsia="Times New Roman" w:cs="Times New Roman"/>
              <w:sz w:val="28"/>
              <w:szCs w:val="20"/>
            </w:rPr>
            <w:t>130 80 Praha 3</w:t>
          </w:r>
        </w:p>
        <w:p w:rsidR="00F76389" w:rsidRPr="00146EE9" w:rsidRDefault="00F76389" w:rsidP="00F76389">
          <w:pPr>
            <w:spacing w:after="0" w:line="240" w:lineRule="auto"/>
            <w:ind w:firstLine="567"/>
            <w:jc w:val="both"/>
            <w:rPr>
              <w:rFonts w:eastAsia="Times New Roman" w:cs="Times New Roman"/>
              <w:sz w:val="24"/>
              <w:szCs w:val="20"/>
            </w:rPr>
          </w:pP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SUDOP Brno, spol. s r.o.</w:t>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r w:rsidRPr="00146EE9">
            <w:rPr>
              <w:rFonts w:eastAsia="Times New Roman" w:cs="Times New Roman"/>
              <w:sz w:val="28"/>
              <w:szCs w:val="20"/>
            </w:rPr>
            <w:tab/>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Kounicova 688/26</w:t>
          </w:r>
          <w:r w:rsidRPr="00146EE9">
            <w:rPr>
              <w:rFonts w:eastAsia="Times New Roman" w:cs="Times New Roman"/>
              <w:sz w:val="28"/>
              <w:szCs w:val="20"/>
            </w:rPr>
            <w:tab/>
          </w:r>
        </w:p>
        <w:p w:rsidR="00F76389" w:rsidRPr="00146EE9" w:rsidRDefault="00F76389" w:rsidP="00F76389">
          <w:pPr>
            <w:spacing w:after="0" w:line="240" w:lineRule="auto"/>
            <w:ind w:firstLine="567"/>
            <w:jc w:val="both"/>
            <w:rPr>
              <w:rFonts w:eastAsia="Times New Roman" w:cs="Times New Roman"/>
              <w:sz w:val="28"/>
              <w:szCs w:val="20"/>
            </w:rPr>
          </w:pPr>
          <w:r w:rsidRPr="00146EE9">
            <w:rPr>
              <w:rFonts w:eastAsia="Times New Roman" w:cs="Times New Roman"/>
              <w:sz w:val="28"/>
              <w:szCs w:val="20"/>
            </w:rPr>
            <w:t>611 36 Brno – střed</w:t>
          </w:r>
        </w:p>
        <w:p w:rsidR="004D1A93" w:rsidRDefault="004D1A93">
          <w:r>
            <w:br w:type="page"/>
          </w:r>
        </w:p>
      </w:sdtContent>
    </w:sdt>
    <w:sdt>
      <w:sdtPr>
        <w:rPr>
          <w:rFonts w:asciiTheme="minorHAnsi" w:eastAsiaTheme="minorEastAsia" w:hAnsiTheme="minorHAnsi" w:cstheme="minorBidi"/>
          <w:b w:val="0"/>
          <w:bCs w:val="0"/>
          <w:color w:val="auto"/>
          <w:sz w:val="22"/>
          <w:szCs w:val="22"/>
        </w:rPr>
        <w:id w:val="-953935021"/>
        <w:docPartObj>
          <w:docPartGallery w:val="Table of Contents"/>
          <w:docPartUnique/>
        </w:docPartObj>
      </w:sdtPr>
      <w:sdtEndPr/>
      <w:sdtContent>
        <w:p w:rsidR="004D1A93" w:rsidRDefault="004D1A93">
          <w:pPr>
            <w:pStyle w:val="Nadpisobsahu"/>
          </w:pPr>
          <w:r>
            <w:t>Obsah</w:t>
          </w:r>
        </w:p>
        <w:p w:rsidR="007F66EC" w:rsidRDefault="004D1A93">
          <w:pPr>
            <w:pStyle w:val="Obsah1"/>
            <w:tabs>
              <w:tab w:val="right" w:leader="dot" w:pos="9016"/>
            </w:tabs>
            <w:rPr>
              <w:noProof/>
            </w:rPr>
          </w:pPr>
          <w:r>
            <w:fldChar w:fldCharType="begin"/>
          </w:r>
          <w:r>
            <w:instrText xml:space="preserve"> TOC \o "1-3" \h \z \u </w:instrText>
          </w:r>
          <w:r>
            <w:fldChar w:fldCharType="separate"/>
          </w:r>
          <w:hyperlink w:anchor="_Toc456957666" w:history="1">
            <w:r w:rsidR="007F66EC" w:rsidRPr="00D331C0">
              <w:rPr>
                <w:rStyle w:val="Hypertextovodkaz"/>
                <w:noProof/>
              </w:rPr>
              <w:t>6.1 Zabezpečovací zařízení</w:t>
            </w:r>
            <w:r w:rsidR="007F66EC">
              <w:rPr>
                <w:noProof/>
                <w:webHidden/>
              </w:rPr>
              <w:tab/>
            </w:r>
            <w:r w:rsidR="007F66EC">
              <w:rPr>
                <w:noProof/>
                <w:webHidden/>
              </w:rPr>
              <w:fldChar w:fldCharType="begin"/>
            </w:r>
            <w:r w:rsidR="007F66EC">
              <w:rPr>
                <w:noProof/>
                <w:webHidden/>
              </w:rPr>
              <w:instrText xml:space="preserve"> PAGEREF _Toc456957666 \h </w:instrText>
            </w:r>
            <w:r w:rsidR="007F66EC">
              <w:rPr>
                <w:noProof/>
                <w:webHidden/>
              </w:rPr>
            </w:r>
            <w:r w:rsidR="007F66EC">
              <w:rPr>
                <w:noProof/>
                <w:webHidden/>
              </w:rPr>
              <w:fldChar w:fldCharType="separate"/>
            </w:r>
            <w:r w:rsidR="007F66EC">
              <w:rPr>
                <w:noProof/>
                <w:webHidden/>
              </w:rPr>
              <w:t>4</w:t>
            </w:r>
            <w:r w:rsidR="007F66EC">
              <w:rPr>
                <w:noProof/>
                <w:webHidden/>
              </w:rPr>
              <w:fldChar w:fldCharType="end"/>
            </w:r>
          </w:hyperlink>
        </w:p>
        <w:p w:rsidR="007F66EC" w:rsidRDefault="007F66EC">
          <w:pPr>
            <w:pStyle w:val="Obsah3"/>
            <w:tabs>
              <w:tab w:val="right" w:leader="dot" w:pos="9016"/>
            </w:tabs>
            <w:rPr>
              <w:noProof/>
            </w:rPr>
          </w:pPr>
          <w:hyperlink w:anchor="_Toc456957667" w:history="1">
            <w:r w:rsidRPr="00D331C0">
              <w:rPr>
                <w:rStyle w:val="Hypertextovodkaz"/>
                <w:noProof/>
              </w:rPr>
              <w:t>6.1.1 Vlastní technické řešení</w:t>
            </w:r>
            <w:r>
              <w:rPr>
                <w:noProof/>
                <w:webHidden/>
              </w:rPr>
              <w:tab/>
            </w:r>
            <w:r>
              <w:rPr>
                <w:noProof/>
                <w:webHidden/>
              </w:rPr>
              <w:fldChar w:fldCharType="begin"/>
            </w:r>
            <w:r>
              <w:rPr>
                <w:noProof/>
                <w:webHidden/>
              </w:rPr>
              <w:instrText xml:space="preserve"> PAGEREF _Toc456957667 \h </w:instrText>
            </w:r>
            <w:r>
              <w:rPr>
                <w:noProof/>
                <w:webHidden/>
              </w:rPr>
            </w:r>
            <w:r>
              <w:rPr>
                <w:noProof/>
                <w:webHidden/>
              </w:rPr>
              <w:fldChar w:fldCharType="separate"/>
            </w:r>
            <w:r>
              <w:rPr>
                <w:noProof/>
                <w:webHidden/>
              </w:rPr>
              <w:t>4</w:t>
            </w:r>
            <w:r>
              <w:rPr>
                <w:noProof/>
                <w:webHidden/>
              </w:rPr>
              <w:fldChar w:fldCharType="end"/>
            </w:r>
          </w:hyperlink>
        </w:p>
        <w:p w:rsidR="007F66EC" w:rsidRDefault="007F66EC">
          <w:pPr>
            <w:pStyle w:val="Obsah3"/>
            <w:tabs>
              <w:tab w:val="right" w:leader="dot" w:pos="9016"/>
            </w:tabs>
            <w:rPr>
              <w:noProof/>
            </w:rPr>
          </w:pPr>
          <w:hyperlink w:anchor="_Toc456957668" w:history="1">
            <w:r w:rsidRPr="00D331C0">
              <w:rPr>
                <w:rStyle w:val="Hypertextovodkaz"/>
                <w:noProof/>
              </w:rPr>
              <w:t>6.1.2 Investiční náklady</w:t>
            </w:r>
            <w:r>
              <w:rPr>
                <w:noProof/>
                <w:webHidden/>
              </w:rPr>
              <w:tab/>
            </w:r>
            <w:r>
              <w:rPr>
                <w:noProof/>
                <w:webHidden/>
              </w:rPr>
              <w:fldChar w:fldCharType="begin"/>
            </w:r>
            <w:r>
              <w:rPr>
                <w:noProof/>
                <w:webHidden/>
              </w:rPr>
              <w:instrText xml:space="preserve"> PAGEREF _Toc456957668 \h </w:instrText>
            </w:r>
            <w:r>
              <w:rPr>
                <w:noProof/>
                <w:webHidden/>
              </w:rPr>
            </w:r>
            <w:r>
              <w:rPr>
                <w:noProof/>
                <w:webHidden/>
              </w:rPr>
              <w:fldChar w:fldCharType="separate"/>
            </w:r>
            <w:r>
              <w:rPr>
                <w:noProof/>
                <w:webHidden/>
              </w:rPr>
              <w:t>4</w:t>
            </w:r>
            <w:r>
              <w:rPr>
                <w:noProof/>
                <w:webHidden/>
              </w:rPr>
              <w:fldChar w:fldCharType="end"/>
            </w:r>
          </w:hyperlink>
        </w:p>
        <w:p w:rsidR="007F66EC" w:rsidRDefault="007F66EC">
          <w:pPr>
            <w:pStyle w:val="Obsah3"/>
            <w:tabs>
              <w:tab w:val="right" w:leader="dot" w:pos="9016"/>
            </w:tabs>
            <w:rPr>
              <w:noProof/>
            </w:rPr>
          </w:pPr>
          <w:hyperlink w:anchor="_Toc456957669" w:history="1">
            <w:r w:rsidRPr="00D331C0">
              <w:rPr>
                <w:rStyle w:val="Hypertextovodkaz"/>
                <w:noProof/>
              </w:rPr>
              <w:t>6.1.3 Vazba na jiné stavby</w:t>
            </w:r>
            <w:r>
              <w:rPr>
                <w:noProof/>
                <w:webHidden/>
              </w:rPr>
              <w:tab/>
            </w:r>
            <w:r>
              <w:rPr>
                <w:noProof/>
                <w:webHidden/>
              </w:rPr>
              <w:fldChar w:fldCharType="begin"/>
            </w:r>
            <w:r>
              <w:rPr>
                <w:noProof/>
                <w:webHidden/>
              </w:rPr>
              <w:instrText xml:space="preserve"> PAGEREF _Toc456957669 \h </w:instrText>
            </w:r>
            <w:r>
              <w:rPr>
                <w:noProof/>
                <w:webHidden/>
              </w:rPr>
            </w:r>
            <w:r>
              <w:rPr>
                <w:noProof/>
                <w:webHidden/>
              </w:rPr>
              <w:fldChar w:fldCharType="separate"/>
            </w:r>
            <w:r>
              <w:rPr>
                <w:noProof/>
                <w:webHidden/>
              </w:rPr>
              <w:t>5</w:t>
            </w:r>
            <w:r>
              <w:rPr>
                <w:noProof/>
                <w:webHidden/>
              </w:rPr>
              <w:fldChar w:fldCharType="end"/>
            </w:r>
          </w:hyperlink>
        </w:p>
        <w:p w:rsidR="007F66EC" w:rsidRDefault="007F66EC">
          <w:pPr>
            <w:pStyle w:val="Obsah3"/>
            <w:tabs>
              <w:tab w:val="right" w:leader="dot" w:pos="9016"/>
            </w:tabs>
            <w:rPr>
              <w:noProof/>
            </w:rPr>
          </w:pPr>
          <w:hyperlink w:anchor="_Toc456957670" w:history="1">
            <w:r w:rsidRPr="00D331C0">
              <w:rPr>
                <w:rStyle w:val="Hypertextovodkaz"/>
                <w:noProof/>
              </w:rPr>
              <w:t>6.1.4 Provizorní styková místa</w:t>
            </w:r>
            <w:r>
              <w:rPr>
                <w:noProof/>
                <w:webHidden/>
              </w:rPr>
              <w:tab/>
            </w:r>
            <w:r>
              <w:rPr>
                <w:noProof/>
                <w:webHidden/>
              </w:rPr>
              <w:fldChar w:fldCharType="begin"/>
            </w:r>
            <w:r>
              <w:rPr>
                <w:noProof/>
                <w:webHidden/>
              </w:rPr>
              <w:instrText xml:space="preserve"> PAGEREF _Toc456957670 \h </w:instrText>
            </w:r>
            <w:r>
              <w:rPr>
                <w:noProof/>
                <w:webHidden/>
              </w:rPr>
            </w:r>
            <w:r>
              <w:rPr>
                <w:noProof/>
                <w:webHidden/>
              </w:rPr>
              <w:fldChar w:fldCharType="separate"/>
            </w:r>
            <w:r>
              <w:rPr>
                <w:noProof/>
                <w:webHidden/>
              </w:rPr>
              <w:t>5</w:t>
            </w:r>
            <w:r>
              <w:rPr>
                <w:noProof/>
                <w:webHidden/>
              </w:rPr>
              <w:fldChar w:fldCharType="end"/>
            </w:r>
          </w:hyperlink>
        </w:p>
        <w:p w:rsidR="007F66EC" w:rsidRDefault="007F66EC">
          <w:pPr>
            <w:pStyle w:val="Obsah1"/>
            <w:tabs>
              <w:tab w:val="right" w:leader="dot" w:pos="9016"/>
            </w:tabs>
            <w:rPr>
              <w:noProof/>
            </w:rPr>
          </w:pPr>
          <w:hyperlink w:anchor="_Toc456957671" w:history="1">
            <w:r w:rsidRPr="00D331C0">
              <w:rPr>
                <w:rStyle w:val="Hypertextovodkaz"/>
                <w:noProof/>
              </w:rPr>
              <w:t>6.2 Sdělovací zařízení</w:t>
            </w:r>
            <w:r>
              <w:rPr>
                <w:noProof/>
                <w:webHidden/>
              </w:rPr>
              <w:tab/>
            </w:r>
            <w:r>
              <w:rPr>
                <w:noProof/>
                <w:webHidden/>
              </w:rPr>
              <w:fldChar w:fldCharType="begin"/>
            </w:r>
            <w:r>
              <w:rPr>
                <w:noProof/>
                <w:webHidden/>
              </w:rPr>
              <w:instrText xml:space="preserve"> PAGEREF _Toc456957671 \h </w:instrText>
            </w:r>
            <w:r>
              <w:rPr>
                <w:noProof/>
                <w:webHidden/>
              </w:rPr>
            </w:r>
            <w:r>
              <w:rPr>
                <w:noProof/>
                <w:webHidden/>
              </w:rPr>
              <w:fldChar w:fldCharType="separate"/>
            </w:r>
            <w:r>
              <w:rPr>
                <w:noProof/>
                <w:webHidden/>
              </w:rPr>
              <w:t>6</w:t>
            </w:r>
            <w:r>
              <w:rPr>
                <w:noProof/>
                <w:webHidden/>
              </w:rPr>
              <w:fldChar w:fldCharType="end"/>
            </w:r>
          </w:hyperlink>
        </w:p>
        <w:p w:rsidR="007F66EC" w:rsidRDefault="007F66EC">
          <w:pPr>
            <w:pStyle w:val="Obsah3"/>
            <w:tabs>
              <w:tab w:val="right" w:leader="dot" w:pos="9016"/>
            </w:tabs>
            <w:rPr>
              <w:noProof/>
            </w:rPr>
          </w:pPr>
          <w:hyperlink w:anchor="_Toc456957672" w:history="1">
            <w:r w:rsidRPr="00D331C0">
              <w:rPr>
                <w:rStyle w:val="Hypertextovodkaz"/>
                <w:noProof/>
              </w:rPr>
              <w:t>6.2.1 Dálkové metalické kabely</w:t>
            </w:r>
            <w:r>
              <w:rPr>
                <w:noProof/>
                <w:webHidden/>
              </w:rPr>
              <w:tab/>
            </w:r>
            <w:r>
              <w:rPr>
                <w:noProof/>
                <w:webHidden/>
              </w:rPr>
              <w:fldChar w:fldCharType="begin"/>
            </w:r>
            <w:r>
              <w:rPr>
                <w:noProof/>
                <w:webHidden/>
              </w:rPr>
              <w:instrText xml:space="preserve"> PAGEREF _Toc456957672 \h </w:instrText>
            </w:r>
            <w:r>
              <w:rPr>
                <w:noProof/>
                <w:webHidden/>
              </w:rPr>
            </w:r>
            <w:r>
              <w:rPr>
                <w:noProof/>
                <w:webHidden/>
              </w:rPr>
              <w:fldChar w:fldCharType="separate"/>
            </w:r>
            <w:r>
              <w:rPr>
                <w:noProof/>
                <w:webHidden/>
              </w:rPr>
              <w:t>6</w:t>
            </w:r>
            <w:r>
              <w:rPr>
                <w:noProof/>
                <w:webHidden/>
              </w:rPr>
              <w:fldChar w:fldCharType="end"/>
            </w:r>
          </w:hyperlink>
        </w:p>
        <w:p w:rsidR="007F66EC" w:rsidRDefault="007F66EC">
          <w:pPr>
            <w:pStyle w:val="Obsah3"/>
            <w:tabs>
              <w:tab w:val="right" w:leader="dot" w:pos="9016"/>
            </w:tabs>
            <w:rPr>
              <w:noProof/>
            </w:rPr>
          </w:pPr>
          <w:hyperlink w:anchor="_Toc456957673" w:history="1">
            <w:r w:rsidRPr="00D331C0">
              <w:rPr>
                <w:rStyle w:val="Hypertextovodkaz"/>
                <w:noProof/>
              </w:rPr>
              <w:t>6.2.2 Traťové metalické kabely</w:t>
            </w:r>
            <w:r>
              <w:rPr>
                <w:noProof/>
                <w:webHidden/>
              </w:rPr>
              <w:tab/>
            </w:r>
            <w:r>
              <w:rPr>
                <w:noProof/>
                <w:webHidden/>
              </w:rPr>
              <w:fldChar w:fldCharType="begin"/>
            </w:r>
            <w:r>
              <w:rPr>
                <w:noProof/>
                <w:webHidden/>
              </w:rPr>
              <w:instrText xml:space="preserve"> PAGEREF _Toc456957673 \h </w:instrText>
            </w:r>
            <w:r>
              <w:rPr>
                <w:noProof/>
                <w:webHidden/>
              </w:rPr>
            </w:r>
            <w:r>
              <w:rPr>
                <w:noProof/>
                <w:webHidden/>
              </w:rPr>
              <w:fldChar w:fldCharType="separate"/>
            </w:r>
            <w:r>
              <w:rPr>
                <w:noProof/>
                <w:webHidden/>
              </w:rPr>
              <w:t>6</w:t>
            </w:r>
            <w:r>
              <w:rPr>
                <w:noProof/>
                <w:webHidden/>
              </w:rPr>
              <w:fldChar w:fldCharType="end"/>
            </w:r>
          </w:hyperlink>
        </w:p>
        <w:p w:rsidR="007F66EC" w:rsidRDefault="007F66EC">
          <w:pPr>
            <w:pStyle w:val="Obsah3"/>
            <w:tabs>
              <w:tab w:val="right" w:leader="dot" w:pos="9016"/>
            </w:tabs>
            <w:rPr>
              <w:noProof/>
            </w:rPr>
          </w:pPr>
          <w:hyperlink w:anchor="_Toc456957674" w:history="1">
            <w:r w:rsidRPr="00D331C0">
              <w:rPr>
                <w:rStyle w:val="Hypertextovodkaz"/>
                <w:noProof/>
              </w:rPr>
              <w:t>6.2.3 Dálkové (i závěsné) optické kabely ČD-Telematika a.s.</w:t>
            </w:r>
            <w:r>
              <w:rPr>
                <w:noProof/>
                <w:webHidden/>
              </w:rPr>
              <w:tab/>
            </w:r>
            <w:r>
              <w:rPr>
                <w:noProof/>
                <w:webHidden/>
              </w:rPr>
              <w:fldChar w:fldCharType="begin"/>
            </w:r>
            <w:r>
              <w:rPr>
                <w:noProof/>
                <w:webHidden/>
              </w:rPr>
              <w:instrText xml:space="preserve"> PAGEREF _Toc456957674 \h </w:instrText>
            </w:r>
            <w:r>
              <w:rPr>
                <w:noProof/>
                <w:webHidden/>
              </w:rPr>
            </w:r>
            <w:r>
              <w:rPr>
                <w:noProof/>
                <w:webHidden/>
              </w:rPr>
              <w:fldChar w:fldCharType="separate"/>
            </w:r>
            <w:r>
              <w:rPr>
                <w:noProof/>
                <w:webHidden/>
              </w:rPr>
              <w:t>7</w:t>
            </w:r>
            <w:r>
              <w:rPr>
                <w:noProof/>
                <w:webHidden/>
              </w:rPr>
              <w:fldChar w:fldCharType="end"/>
            </w:r>
          </w:hyperlink>
        </w:p>
        <w:p w:rsidR="007F66EC" w:rsidRDefault="007F66EC">
          <w:pPr>
            <w:pStyle w:val="Obsah3"/>
            <w:tabs>
              <w:tab w:val="right" w:leader="dot" w:pos="9016"/>
            </w:tabs>
            <w:rPr>
              <w:noProof/>
            </w:rPr>
          </w:pPr>
          <w:hyperlink w:anchor="_Toc456957675" w:history="1">
            <w:r w:rsidRPr="00D331C0">
              <w:rPr>
                <w:rStyle w:val="Hypertextovodkaz"/>
                <w:noProof/>
              </w:rPr>
              <w:t>6.2.4 Dálkové (i závěsné) optické kabely SŽDC s.o .</w:t>
            </w:r>
            <w:r>
              <w:rPr>
                <w:noProof/>
                <w:webHidden/>
              </w:rPr>
              <w:tab/>
            </w:r>
            <w:r>
              <w:rPr>
                <w:noProof/>
                <w:webHidden/>
              </w:rPr>
              <w:fldChar w:fldCharType="begin"/>
            </w:r>
            <w:r>
              <w:rPr>
                <w:noProof/>
                <w:webHidden/>
              </w:rPr>
              <w:instrText xml:space="preserve"> PAGEREF _Toc456957675 \h </w:instrText>
            </w:r>
            <w:r>
              <w:rPr>
                <w:noProof/>
                <w:webHidden/>
              </w:rPr>
            </w:r>
            <w:r>
              <w:rPr>
                <w:noProof/>
                <w:webHidden/>
              </w:rPr>
              <w:fldChar w:fldCharType="separate"/>
            </w:r>
            <w:r>
              <w:rPr>
                <w:noProof/>
                <w:webHidden/>
              </w:rPr>
              <w:t>7</w:t>
            </w:r>
            <w:r>
              <w:rPr>
                <w:noProof/>
                <w:webHidden/>
              </w:rPr>
              <w:fldChar w:fldCharType="end"/>
            </w:r>
          </w:hyperlink>
        </w:p>
        <w:p w:rsidR="007F66EC" w:rsidRDefault="007F66EC">
          <w:pPr>
            <w:pStyle w:val="Obsah3"/>
            <w:tabs>
              <w:tab w:val="right" w:leader="dot" w:pos="9016"/>
            </w:tabs>
            <w:rPr>
              <w:noProof/>
            </w:rPr>
          </w:pPr>
          <w:hyperlink w:anchor="_Toc456957676" w:history="1">
            <w:r w:rsidRPr="00D331C0">
              <w:rPr>
                <w:rStyle w:val="Hypertextovodkaz"/>
                <w:noProof/>
              </w:rPr>
              <w:t>6.2.5 Hybridní dálkové kabely</w:t>
            </w:r>
            <w:r>
              <w:rPr>
                <w:noProof/>
                <w:webHidden/>
              </w:rPr>
              <w:tab/>
            </w:r>
            <w:r>
              <w:rPr>
                <w:noProof/>
                <w:webHidden/>
              </w:rPr>
              <w:fldChar w:fldCharType="begin"/>
            </w:r>
            <w:r>
              <w:rPr>
                <w:noProof/>
                <w:webHidden/>
              </w:rPr>
              <w:instrText xml:space="preserve"> PAGEREF _Toc456957676 \h </w:instrText>
            </w:r>
            <w:r>
              <w:rPr>
                <w:noProof/>
                <w:webHidden/>
              </w:rPr>
            </w:r>
            <w:r>
              <w:rPr>
                <w:noProof/>
                <w:webHidden/>
              </w:rPr>
              <w:fldChar w:fldCharType="separate"/>
            </w:r>
            <w:r>
              <w:rPr>
                <w:noProof/>
                <w:webHidden/>
              </w:rPr>
              <w:t>8</w:t>
            </w:r>
            <w:r>
              <w:rPr>
                <w:noProof/>
                <w:webHidden/>
              </w:rPr>
              <w:fldChar w:fldCharType="end"/>
            </w:r>
          </w:hyperlink>
        </w:p>
        <w:p w:rsidR="007F66EC" w:rsidRDefault="007F66EC">
          <w:pPr>
            <w:pStyle w:val="Obsah3"/>
            <w:tabs>
              <w:tab w:val="right" w:leader="dot" w:pos="9016"/>
            </w:tabs>
            <w:rPr>
              <w:noProof/>
            </w:rPr>
          </w:pPr>
          <w:hyperlink w:anchor="_Toc456957677" w:history="1">
            <w:r w:rsidRPr="00D331C0">
              <w:rPr>
                <w:rStyle w:val="Hypertextovodkaz"/>
                <w:noProof/>
              </w:rPr>
              <w:t>6.2.6 Přípojné železniční tratě bez připojení pomocí sdělovacích kabelů SŽDC s.o.</w:t>
            </w:r>
            <w:r>
              <w:rPr>
                <w:noProof/>
                <w:webHidden/>
              </w:rPr>
              <w:tab/>
            </w:r>
            <w:r>
              <w:rPr>
                <w:noProof/>
                <w:webHidden/>
              </w:rPr>
              <w:fldChar w:fldCharType="begin"/>
            </w:r>
            <w:r>
              <w:rPr>
                <w:noProof/>
                <w:webHidden/>
              </w:rPr>
              <w:instrText xml:space="preserve"> PAGEREF _Toc456957677 \h </w:instrText>
            </w:r>
            <w:r>
              <w:rPr>
                <w:noProof/>
                <w:webHidden/>
              </w:rPr>
            </w:r>
            <w:r>
              <w:rPr>
                <w:noProof/>
                <w:webHidden/>
              </w:rPr>
              <w:fldChar w:fldCharType="separate"/>
            </w:r>
            <w:r>
              <w:rPr>
                <w:noProof/>
                <w:webHidden/>
              </w:rPr>
              <w:t>9</w:t>
            </w:r>
            <w:r>
              <w:rPr>
                <w:noProof/>
                <w:webHidden/>
              </w:rPr>
              <w:fldChar w:fldCharType="end"/>
            </w:r>
          </w:hyperlink>
        </w:p>
        <w:p w:rsidR="007F66EC" w:rsidRDefault="007F66EC">
          <w:pPr>
            <w:pStyle w:val="Obsah3"/>
            <w:tabs>
              <w:tab w:val="right" w:leader="dot" w:pos="9016"/>
            </w:tabs>
            <w:rPr>
              <w:noProof/>
            </w:rPr>
          </w:pPr>
          <w:hyperlink w:anchor="_Toc456957678" w:history="1">
            <w:r w:rsidRPr="00D331C0">
              <w:rPr>
                <w:rStyle w:val="Hypertextovodkaz"/>
                <w:noProof/>
              </w:rPr>
              <w:t>6.2.7 Místní kabelizace v jednotlivých ŽST</w:t>
            </w:r>
            <w:r>
              <w:rPr>
                <w:noProof/>
                <w:webHidden/>
              </w:rPr>
              <w:tab/>
            </w:r>
            <w:r>
              <w:rPr>
                <w:noProof/>
                <w:webHidden/>
              </w:rPr>
              <w:fldChar w:fldCharType="begin"/>
            </w:r>
            <w:r>
              <w:rPr>
                <w:noProof/>
                <w:webHidden/>
              </w:rPr>
              <w:instrText xml:space="preserve"> PAGEREF _Toc456957678 \h </w:instrText>
            </w:r>
            <w:r>
              <w:rPr>
                <w:noProof/>
                <w:webHidden/>
              </w:rPr>
            </w:r>
            <w:r>
              <w:rPr>
                <w:noProof/>
                <w:webHidden/>
              </w:rPr>
              <w:fldChar w:fldCharType="separate"/>
            </w:r>
            <w:r>
              <w:rPr>
                <w:noProof/>
                <w:webHidden/>
              </w:rPr>
              <w:t>9</w:t>
            </w:r>
            <w:r>
              <w:rPr>
                <w:noProof/>
                <w:webHidden/>
              </w:rPr>
              <w:fldChar w:fldCharType="end"/>
            </w:r>
          </w:hyperlink>
        </w:p>
        <w:p w:rsidR="007F66EC" w:rsidRDefault="007F66EC">
          <w:pPr>
            <w:pStyle w:val="Obsah3"/>
            <w:tabs>
              <w:tab w:val="right" w:leader="dot" w:pos="9016"/>
            </w:tabs>
            <w:rPr>
              <w:noProof/>
            </w:rPr>
          </w:pPr>
          <w:hyperlink w:anchor="_Toc456957679" w:history="1">
            <w:r w:rsidRPr="00D331C0">
              <w:rPr>
                <w:rStyle w:val="Hypertextovodkaz"/>
                <w:noProof/>
              </w:rPr>
              <w:t>6.2.8 Přenosový systém</w:t>
            </w:r>
            <w:r>
              <w:rPr>
                <w:noProof/>
                <w:webHidden/>
              </w:rPr>
              <w:tab/>
            </w:r>
            <w:r>
              <w:rPr>
                <w:noProof/>
                <w:webHidden/>
              </w:rPr>
              <w:fldChar w:fldCharType="begin"/>
            </w:r>
            <w:r>
              <w:rPr>
                <w:noProof/>
                <w:webHidden/>
              </w:rPr>
              <w:instrText xml:space="preserve"> PAGEREF _Toc456957679 \h </w:instrText>
            </w:r>
            <w:r>
              <w:rPr>
                <w:noProof/>
                <w:webHidden/>
              </w:rPr>
            </w:r>
            <w:r>
              <w:rPr>
                <w:noProof/>
                <w:webHidden/>
              </w:rPr>
              <w:fldChar w:fldCharType="separate"/>
            </w:r>
            <w:r>
              <w:rPr>
                <w:noProof/>
                <w:webHidden/>
              </w:rPr>
              <w:t>10</w:t>
            </w:r>
            <w:r>
              <w:rPr>
                <w:noProof/>
                <w:webHidden/>
              </w:rPr>
              <w:fldChar w:fldCharType="end"/>
            </w:r>
          </w:hyperlink>
        </w:p>
        <w:p w:rsidR="007F66EC" w:rsidRDefault="007F66EC">
          <w:pPr>
            <w:pStyle w:val="Obsah3"/>
            <w:tabs>
              <w:tab w:val="right" w:leader="dot" w:pos="9016"/>
            </w:tabs>
            <w:rPr>
              <w:noProof/>
            </w:rPr>
          </w:pPr>
          <w:hyperlink w:anchor="_Toc456957680" w:history="1">
            <w:r w:rsidRPr="00D331C0">
              <w:rPr>
                <w:rStyle w:val="Hypertextovodkaz"/>
                <w:noProof/>
              </w:rPr>
              <w:t>6.2.9 Telefonní zapojovače</w:t>
            </w:r>
            <w:r>
              <w:rPr>
                <w:noProof/>
                <w:webHidden/>
              </w:rPr>
              <w:tab/>
            </w:r>
            <w:r>
              <w:rPr>
                <w:noProof/>
                <w:webHidden/>
              </w:rPr>
              <w:fldChar w:fldCharType="begin"/>
            </w:r>
            <w:r>
              <w:rPr>
                <w:noProof/>
                <w:webHidden/>
              </w:rPr>
              <w:instrText xml:space="preserve"> PAGEREF _Toc456957680 \h </w:instrText>
            </w:r>
            <w:r>
              <w:rPr>
                <w:noProof/>
                <w:webHidden/>
              </w:rPr>
            </w:r>
            <w:r>
              <w:rPr>
                <w:noProof/>
                <w:webHidden/>
              </w:rPr>
              <w:fldChar w:fldCharType="separate"/>
            </w:r>
            <w:r>
              <w:rPr>
                <w:noProof/>
                <w:webHidden/>
              </w:rPr>
              <w:t>11</w:t>
            </w:r>
            <w:r>
              <w:rPr>
                <w:noProof/>
                <w:webHidden/>
              </w:rPr>
              <w:fldChar w:fldCharType="end"/>
            </w:r>
          </w:hyperlink>
        </w:p>
        <w:p w:rsidR="007F66EC" w:rsidRDefault="007F66EC">
          <w:pPr>
            <w:pStyle w:val="Obsah3"/>
            <w:tabs>
              <w:tab w:val="right" w:leader="dot" w:pos="9016"/>
            </w:tabs>
            <w:rPr>
              <w:noProof/>
            </w:rPr>
          </w:pPr>
          <w:hyperlink w:anchor="_Toc456957681" w:history="1">
            <w:r w:rsidRPr="00D331C0">
              <w:rPr>
                <w:rStyle w:val="Hypertextovodkaz"/>
                <w:noProof/>
              </w:rPr>
              <w:t>6.2.10 Traťové radiové systémy</w:t>
            </w:r>
            <w:r>
              <w:rPr>
                <w:noProof/>
                <w:webHidden/>
              </w:rPr>
              <w:tab/>
            </w:r>
            <w:r>
              <w:rPr>
                <w:noProof/>
                <w:webHidden/>
              </w:rPr>
              <w:fldChar w:fldCharType="begin"/>
            </w:r>
            <w:r>
              <w:rPr>
                <w:noProof/>
                <w:webHidden/>
              </w:rPr>
              <w:instrText xml:space="preserve"> PAGEREF _Toc456957681 \h </w:instrText>
            </w:r>
            <w:r>
              <w:rPr>
                <w:noProof/>
                <w:webHidden/>
              </w:rPr>
            </w:r>
            <w:r>
              <w:rPr>
                <w:noProof/>
                <w:webHidden/>
              </w:rPr>
              <w:fldChar w:fldCharType="separate"/>
            </w:r>
            <w:r>
              <w:rPr>
                <w:noProof/>
                <w:webHidden/>
              </w:rPr>
              <w:t>12</w:t>
            </w:r>
            <w:r>
              <w:rPr>
                <w:noProof/>
                <w:webHidden/>
              </w:rPr>
              <w:fldChar w:fldCharType="end"/>
            </w:r>
          </w:hyperlink>
        </w:p>
        <w:p w:rsidR="007F66EC" w:rsidRDefault="007F66EC">
          <w:pPr>
            <w:pStyle w:val="Obsah3"/>
            <w:tabs>
              <w:tab w:val="right" w:leader="dot" w:pos="9016"/>
            </w:tabs>
            <w:rPr>
              <w:noProof/>
            </w:rPr>
          </w:pPr>
          <w:hyperlink w:anchor="_Toc456957682" w:history="1">
            <w:r w:rsidRPr="00D331C0">
              <w:rPr>
                <w:rStyle w:val="Hypertextovodkaz"/>
                <w:noProof/>
              </w:rPr>
              <w:t>6.2.11 Dispečerská řídící technika</w:t>
            </w:r>
            <w:r>
              <w:rPr>
                <w:noProof/>
                <w:webHidden/>
              </w:rPr>
              <w:tab/>
            </w:r>
            <w:r>
              <w:rPr>
                <w:noProof/>
                <w:webHidden/>
              </w:rPr>
              <w:fldChar w:fldCharType="begin"/>
            </w:r>
            <w:r>
              <w:rPr>
                <w:noProof/>
                <w:webHidden/>
              </w:rPr>
              <w:instrText xml:space="preserve"> PAGEREF _Toc456957682 \h </w:instrText>
            </w:r>
            <w:r>
              <w:rPr>
                <w:noProof/>
                <w:webHidden/>
              </w:rPr>
            </w:r>
            <w:r>
              <w:rPr>
                <w:noProof/>
                <w:webHidden/>
              </w:rPr>
              <w:fldChar w:fldCharType="separate"/>
            </w:r>
            <w:r>
              <w:rPr>
                <w:noProof/>
                <w:webHidden/>
              </w:rPr>
              <w:t>12</w:t>
            </w:r>
            <w:r>
              <w:rPr>
                <w:noProof/>
                <w:webHidden/>
              </w:rPr>
              <w:fldChar w:fldCharType="end"/>
            </w:r>
          </w:hyperlink>
        </w:p>
        <w:p w:rsidR="007F66EC" w:rsidRDefault="007F66EC">
          <w:pPr>
            <w:pStyle w:val="Obsah3"/>
            <w:tabs>
              <w:tab w:val="right" w:leader="dot" w:pos="9016"/>
            </w:tabs>
            <w:rPr>
              <w:noProof/>
            </w:rPr>
          </w:pPr>
          <w:hyperlink w:anchor="_Toc456957683" w:history="1">
            <w:r w:rsidRPr="00D331C0">
              <w:rPr>
                <w:rStyle w:val="Hypertextovodkaz"/>
                <w:noProof/>
              </w:rPr>
              <w:t>6.2.12 Návrh opatření pro případné rušení veřejných sdělovacích sítí</w:t>
            </w:r>
            <w:r>
              <w:rPr>
                <w:noProof/>
                <w:webHidden/>
              </w:rPr>
              <w:tab/>
            </w:r>
            <w:r>
              <w:rPr>
                <w:noProof/>
                <w:webHidden/>
              </w:rPr>
              <w:fldChar w:fldCharType="begin"/>
            </w:r>
            <w:r>
              <w:rPr>
                <w:noProof/>
                <w:webHidden/>
              </w:rPr>
              <w:instrText xml:space="preserve"> PAGEREF _Toc456957683 \h </w:instrText>
            </w:r>
            <w:r>
              <w:rPr>
                <w:noProof/>
                <w:webHidden/>
              </w:rPr>
            </w:r>
            <w:r>
              <w:rPr>
                <w:noProof/>
                <w:webHidden/>
              </w:rPr>
              <w:fldChar w:fldCharType="separate"/>
            </w:r>
            <w:r>
              <w:rPr>
                <w:noProof/>
                <w:webHidden/>
              </w:rPr>
              <w:t>13</w:t>
            </w:r>
            <w:r>
              <w:rPr>
                <w:noProof/>
                <w:webHidden/>
              </w:rPr>
              <w:fldChar w:fldCharType="end"/>
            </w:r>
          </w:hyperlink>
        </w:p>
        <w:p w:rsidR="007F66EC" w:rsidRDefault="007F66EC">
          <w:pPr>
            <w:pStyle w:val="Obsah3"/>
            <w:tabs>
              <w:tab w:val="right" w:leader="dot" w:pos="9016"/>
            </w:tabs>
            <w:rPr>
              <w:noProof/>
            </w:rPr>
          </w:pPr>
          <w:hyperlink w:anchor="_Toc456957684" w:history="1">
            <w:r w:rsidRPr="00D331C0">
              <w:rPr>
                <w:rStyle w:val="Hypertextovodkaz"/>
                <w:noProof/>
              </w:rPr>
              <w:t>6.2.13 Porovnání dvou  koncepcí  návrhů traťových kabelů</w:t>
            </w:r>
            <w:r>
              <w:rPr>
                <w:noProof/>
                <w:webHidden/>
              </w:rPr>
              <w:tab/>
            </w:r>
            <w:r>
              <w:rPr>
                <w:noProof/>
                <w:webHidden/>
              </w:rPr>
              <w:fldChar w:fldCharType="begin"/>
            </w:r>
            <w:r>
              <w:rPr>
                <w:noProof/>
                <w:webHidden/>
              </w:rPr>
              <w:instrText xml:space="preserve"> PAGEREF _Toc456957684 \h </w:instrText>
            </w:r>
            <w:r>
              <w:rPr>
                <w:noProof/>
                <w:webHidden/>
              </w:rPr>
            </w:r>
            <w:r>
              <w:rPr>
                <w:noProof/>
                <w:webHidden/>
              </w:rPr>
              <w:fldChar w:fldCharType="separate"/>
            </w:r>
            <w:r>
              <w:rPr>
                <w:noProof/>
                <w:webHidden/>
              </w:rPr>
              <w:t>14</w:t>
            </w:r>
            <w:r>
              <w:rPr>
                <w:noProof/>
                <w:webHidden/>
              </w:rPr>
              <w:fldChar w:fldCharType="end"/>
            </w:r>
          </w:hyperlink>
        </w:p>
        <w:p w:rsidR="007F66EC" w:rsidRDefault="007F66EC">
          <w:pPr>
            <w:pStyle w:val="Obsah1"/>
            <w:tabs>
              <w:tab w:val="right" w:leader="dot" w:pos="9016"/>
            </w:tabs>
            <w:rPr>
              <w:noProof/>
            </w:rPr>
          </w:pPr>
          <w:hyperlink w:anchor="_Toc456957685" w:history="1">
            <w:r w:rsidRPr="00D331C0">
              <w:rPr>
                <w:rStyle w:val="Hypertextovodkaz"/>
                <w:noProof/>
              </w:rPr>
              <w:t>6.3 Silnoproudá technologie</w:t>
            </w:r>
            <w:r>
              <w:rPr>
                <w:noProof/>
                <w:webHidden/>
              </w:rPr>
              <w:tab/>
            </w:r>
            <w:r>
              <w:rPr>
                <w:noProof/>
                <w:webHidden/>
              </w:rPr>
              <w:fldChar w:fldCharType="begin"/>
            </w:r>
            <w:r>
              <w:rPr>
                <w:noProof/>
                <w:webHidden/>
              </w:rPr>
              <w:instrText xml:space="preserve"> PAGEREF _Toc456957685 \h </w:instrText>
            </w:r>
            <w:r>
              <w:rPr>
                <w:noProof/>
                <w:webHidden/>
              </w:rPr>
            </w:r>
            <w:r>
              <w:rPr>
                <w:noProof/>
                <w:webHidden/>
              </w:rPr>
              <w:fldChar w:fldCharType="separate"/>
            </w:r>
            <w:r>
              <w:rPr>
                <w:noProof/>
                <w:webHidden/>
              </w:rPr>
              <w:t>16</w:t>
            </w:r>
            <w:r>
              <w:rPr>
                <w:noProof/>
                <w:webHidden/>
              </w:rPr>
              <w:fldChar w:fldCharType="end"/>
            </w:r>
          </w:hyperlink>
        </w:p>
        <w:p w:rsidR="007F66EC" w:rsidRDefault="007F66EC">
          <w:pPr>
            <w:pStyle w:val="Obsah3"/>
            <w:tabs>
              <w:tab w:val="right" w:leader="dot" w:pos="9016"/>
            </w:tabs>
            <w:rPr>
              <w:noProof/>
            </w:rPr>
          </w:pPr>
          <w:hyperlink w:anchor="_Toc456957686" w:history="1">
            <w:r w:rsidRPr="00D331C0">
              <w:rPr>
                <w:rStyle w:val="Hypertextovodkaz"/>
                <w:noProof/>
              </w:rPr>
              <w:t>6.3.1 Posouzení střídavá x stejnosměrná trakce</w:t>
            </w:r>
            <w:r>
              <w:rPr>
                <w:noProof/>
                <w:webHidden/>
              </w:rPr>
              <w:tab/>
            </w:r>
            <w:r>
              <w:rPr>
                <w:noProof/>
                <w:webHidden/>
              </w:rPr>
              <w:fldChar w:fldCharType="begin"/>
            </w:r>
            <w:r>
              <w:rPr>
                <w:noProof/>
                <w:webHidden/>
              </w:rPr>
              <w:instrText xml:space="preserve"> PAGEREF _Toc456957686 \h </w:instrText>
            </w:r>
            <w:r>
              <w:rPr>
                <w:noProof/>
                <w:webHidden/>
              </w:rPr>
            </w:r>
            <w:r>
              <w:rPr>
                <w:noProof/>
                <w:webHidden/>
              </w:rPr>
              <w:fldChar w:fldCharType="separate"/>
            </w:r>
            <w:r>
              <w:rPr>
                <w:noProof/>
                <w:webHidden/>
              </w:rPr>
              <w:t>16</w:t>
            </w:r>
            <w:r>
              <w:rPr>
                <w:noProof/>
                <w:webHidden/>
              </w:rPr>
              <w:fldChar w:fldCharType="end"/>
            </w:r>
          </w:hyperlink>
        </w:p>
        <w:p w:rsidR="007F66EC" w:rsidRDefault="007F66EC">
          <w:pPr>
            <w:pStyle w:val="Obsah3"/>
            <w:tabs>
              <w:tab w:val="right" w:leader="dot" w:pos="9016"/>
            </w:tabs>
            <w:rPr>
              <w:noProof/>
            </w:rPr>
          </w:pPr>
          <w:hyperlink w:anchor="_Toc456957687" w:history="1">
            <w:r w:rsidRPr="00D331C0">
              <w:rPr>
                <w:rStyle w:val="Hypertextovodkaz"/>
                <w:noProof/>
              </w:rPr>
              <w:t>6.3.2 Technické řešení napájení</w:t>
            </w:r>
            <w:r>
              <w:rPr>
                <w:noProof/>
                <w:webHidden/>
              </w:rPr>
              <w:tab/>
            </w:r>
            <w:r>
              <w:rPr>
                <w:noProof/>
                <w:webHidden/>
              </w:rPr>
              <w:fldChar w:fldCharType="begin"/>
            </w:r>
            <w:r>
              <w:rPr>
                <w:noProof/>
                <w:webHidden/>
              </w:rPr>
              <w:instrText xml:space="preserve"> PAGEREF _Toc456957687 \h </w:instrText>
            </w:r>
            <w:r>
              <w:rPr>
                <w:noProof/>
                <w:webHidden/>
              </w:rPr>
            </w:r>
            <w:r>
              <w:rPr>
                <w:noProof/>
                <w:webHidden/>
              </w:rPr>
              <w:fldChar w:fldCharType="separate"/>
            </w:r>
            <w:r>
              <w:rPr>
                <w:noProof/>
                <w:webHidden/>
              </w:rPr>
              <w:t>16</w:t>
            </w:r>
            <w:r>
              <w:rPr>
                <w:noProof/>
                <w:webHidden/>
              </w:rPr>
              <w:fldChar w:fldCharType="end"/>
            </w:r>
          </w:hyperlink>
        </w:p>
        <w:p w:rsidR="007F66EC" w:rsidRDefault="007F66EC">
          <w:pPr>
            <w:pStyle w:val="Obsah1"/>
            <w:tabs>
              <w:tab w:val="right" w:leader="dot" w:pos="9016"/>
            </w:tabs>
            <w:rPr>
              <w:noProof/>
            </w:rPr>
          </w:pPr>
          <w:hyperlink w:anchor="_Toc456957688" w:history="1">
            <w:r w:rsidRPr="00D331C0">
              <w:rPr>
                <w:rStyle w:val="Hypertextovodkaz"/>
                <w:noProof/>
              </w:rPr>
              <w:t>6.4 Železniční spodek a svršek</w:t>
            </w:r>
            <w:r>
              <w:rPr>
                <w:noProof/>
                <w:webHidden/>
              </w:rPr>
              <w:tab/>
            </w:r>
            <w:r>
              <w:rPr>
                <w:noProof/>
                <w:webHidden/>
              </w:rPr>
              <w:fldChar w:fldCharType="begin"/>
            </w:r>
            <w:r>
              <w:rPr>
                <w:noProof/>
                <w:webHidden/>
              </w:rPr>
              <w:instrText xml:space="preserve"> PAGEREF _Toc456957688 \h </w:instrText>
            </w:r>
            <w:r>
              <w:rPr>
                <w:noProof/>
                <w:webHidden/>
              </w:rPr>
            </w:r>
            <w:r>
              <w:rPr>
                <w:noProof/>
                <w:webHidden/>
              </w:rPr>
              <w:fldChar w:fldCharType="separate"/>
            </w:r>
            <w:r>
              <w:rPr>
                <w:noProof/>
                <w:webHidden/>
              </w:rPr>
              <w:t>25</w:t>
            </w:r>
            <w:r>
              <w:rPr>
                <w:noProof/>
                <w:webHidden/>
              </w:rPr>
              <w:fldChar w:fldCharType="end"/>
            </w:r>
          </w:hyperlink>
        </w:p>
        <w:p w:rsidR="007F66EC" w:rsidRDefault="007F66EC">
          <w:pPr>
            <w:pStyle w:val="Obsah1"/>
            <w:tabs>
              <w:tab w:val="right" w:leader="dot" w:pos="9016"/>
            </w:tabs>
            <w:rPr>
              <w:noProof/>
            </w:rPr>
          </w:pPr>
          <w:hyperlink w:anchor="_Toc456957689" w:history="1">
            <w:r w:rsidRPr="00D331C0">
              <w:rPr>
                <w:rStyle w:val="Hypertextovodkaz"/>
                <w:noProof/>
              </w:rPr>
              <w:t>6.5 Mosty</w:t>
            </w:r>
            <w:r>
              <w:rPr>
                <w:noProof/>
                <w:webHidden/>
              </w:rPr>
              <w:tab/>
            </w:r>
            <w:r>
              <w:rPr>
                <w:noProof/>
                <w:webHidden/>
              </w:rPr>
              <w:fldChar w:fldCharType="begin"/>
            </w:r>
            <w:r>
              <w:rPr>
                <w:noProof/>
                <w:webHidden/>
              </w:rPr>
              <w:instrText xml:space="preserve"> PAGEREF _Toc456957689 \h </w:instrText>
            </w:r>
            <w:r>
              <w:rPr>
                <w:noProof/>
                <w:webHidden/>
              </w:rPr>
            </w:r>
            <w:r>
              <w:rPr>
                <w:noProof/>
                <w:webHidden/>
              </w:rPr>
              <w:fldChar w:fldCharType="separate"/>
            </w:r>
            <w:r>
              <w:rPr>
                <w:noProof/>
                <w:webHidden/>
              </w:rPr>
              <w:t>26</w:t>
            </w:r>
            <w:r>
              <w:rPr>
                <w:noProof/>
                <w:webHidden/>
              </w:rPr>
              <w:fldChar w:fldCharType="end"/>
            </w:r>
          </w:hyperlink>
        </w:p>
        <w:p w:rsidR="007F66EC" w:rsidRDefault="007F66EC">
          <w:pPr>
            <w:pStyle w:val="Obsah1"/>
            <w:tabs>
              <w:tab w:val="right" w:leader="dot" w:pos="9016"/>
            </w:tabs>
            <w:rPr>
              <w:noProof/>
            </w:rPr>
          </w:pPr>
          <w:hyperlink w:anchor="_Toc456957690" w:history="1">
            <w:r w:rsidRPr="00D331C0">
              <w:rPr>
                <w:rStyle w:val="Hypertextovodkaz"/>
                <w:noProof/>
              </w:rPr>
              <w:t>6.6 Trakční vedení</w:t>
            </w:r>
            <w:r>
              <w:rPr>
                <w:noProof/>
                <w:webHidden/>
              </w:rPr>
              <w:tab/>
            </w:r>
            <w:r>
              <w:rPr>
                <w:noProof/>
                <w:webHidden/>
              </w:rPr>
              <w:fldChar w:fldCharType="begin"/>
            </w:r>
            <w:r>
              <w:rPr>
                <w:noProof/>
                <w:webHidden/>
              </w:rPr>
              <w:instrText xml:space="preserve"> PAGEREF _Toc456957690 \h </w:instrText>
            </w:r>
            <w:r>
              <w:rPr>
                <w:noProof/>
                <w:webHidden/>
              </w:rPr>
            </w:r>
            <w:r>
              <w:rPr>
                <w:noProof/>
                <w:webHidden/>
              </w:rPr>
              <w:fldChar w:fldCharType="separate"/>
            </w:r>
            <w:r>
              <w:rPr>
                <w:noProof/>
                <w:webHidden/>
              </w:rPr>
              <w:t>27</w:t>
            </w:r>
            <w:r>
              <w:rPr>
                <w:noProof/>
                <w:webHidden/>
              </w:rPr>
              <w:fldChar w:fldCharType="end"/>
            </w:r>
          </w:hyperlink>
        </w:p>
        <w:p w:rsidR="007F66EC" w:rsidRDefault="007F66EC">
          <w:pPr>
            <w:pStyle w:val="Obsah3"/>
            <w:tabs>
              <w:tab w:val="right" w:leader="dot" w:pos="9016"/>
            </w:tabs>
            <w:rPr>
              <w:noProof/>
            </w:rPr>
          </w:pPr>
          <w:hyperlink w:anchor="_Toc456957691" w:history="1">
            <w:r w:rsidRPr="00D331C0">
              <w:rPr>
                <w:rStyle w:val="Hypertextovodkaz"/>
                <w:noProof/>
              </w:rPr>
              <w:t>6.6.1 Popis a postup řešení TV</w:t>
            </w:r>
            <w:r>
              <w:rPr>
                <w:noProof/>
                <w:webHidden/>
              </w:rPr>
              <w:tab/>
            </w:r>
            <w:r>
              <w:rPr>
                <w:noProof/>
                <w:webHidden/>
              </w:rPr>
              <w:fldChar w:fldCharType="begin"/>
            </w:r>
            <w:r>
              <w:rPr>
                <w:noProof/>
                <w:webHidden/>
              </w:rPr>
              <w:instrText xml:space="preserve"> PAGEREF _Toc456957691 \h </w:instrText>
            </w:r>
            <w:r>
              <w:rPr>
                <w:noProof/>
                <w:webHidden/>
              </w:rPr>
            </w:r>
            <w:r>
              <w:rPr>
                <w:noProof/>
                <w:webHidden/>
              </w:rPr>
              <w:fldChar w:fldCharType="separate"/>
            </w:r>
            <w:r>
              <w:rPr>
                <w:noProof/>
                <w:webHidden/>
              </w:rPr>
              <w:t>27</w:t>
            </w:r>
            <w:r>
              <w:rPr>
                <w:noProof/>
                <w:webHidden/>
              </w:rPr>
              <w:fldChar w:fldCharType="end"/>
            </w:r>
          </w:hyperlink>
        </w:p>
        <w:p w:rsidR="007F66EC" w:rsidRDefault="007F66EC">
          <w:pPr>
            <w:pStyle w:val="Obsah3"/>
            <w:tabs>
              <w:tab w:val="right" w:leader="dot" w:pos="9016"/>
            </w:tabs>
            <w:rPr>
              <w:noProof/>
            </w:rPr>
          </w:pPr>
          <w:hyperlink w:anchor="_Toc456957692" w:history="1">
            <w:r w:rsidRPr="00D331C0">
              <w:rPr>
                <w:rStyle w:val="Hypertextovodkaz"/>
                <w:noProof/>
              </w:rPr>
              <w:t>6.6.2 Ochrana před úrazem elektrickým proudem</w:t>
            </w:r>
            <w:r>
              <w:rPr>
                <w:noProof/>
                <w:webHidden/>
              </w:rPr>
              <w:tab/>
            </w:r>
            <w:r>
              <w:rPr>
                <w:noProof/>
                <w:webHidden/>
              </w:rPr>
              <w:fldChar w:fldCharType="begin"/>
            </w:r>
            <w:r>
              <w:rPr>
                <w:noProof/>
                <w:webHidden/>
              </w:rPr>
              <w:instrText xml:space="preserve"> PAGEREF _Toc456957692 \h </w:instrText>
            </w:r>
            <w:r>
              <w:rPr>
                <w:noProof/>
                <w:webHidden/>
              </w:rPr>
            </w:r>
            <w:r>
              <w:rPr>
                <w:noProof/>
                <w:webHidden/>
              </w:rPr>
              <w:fldChar w:fldCharType="separate"/>
            </w:r>
            <w:r>
              <w:rPr>
                <w:noProof/>
                <w:webHidden/>
              </w:rPr>
              <w:t>34</w:t>
            </w:r>
            <w:r>
              <w:rPr>
                <w:noProof/>
                <w:webHidden/>
              </w:rPr>
              <w:fldChar w:fldCharType="end"/>
            </w:r>
          </w:hyperlink>
        </w:p>
        <w:p w:rsidR="007F66EC" w:rsidRDefault="007F66EC">
          <w:pPr>
            <w:pStyle w:val="Obsah1"/>
            <w:tabs>
              <w:tab w:val="right" w:leader="dot" w:pos="9016"/>
            </w:tabs>
            <w:rPr>
              <w:noProof/>
            </w:rPr>
          </w:pPr>
          <w:hyperlink w:anchor="_Toc456957693" w:history="1">
            <w:r w:rsidRPr="00D331C0">
              <w:rPr>
                <w:rStyle w:val="Hypertextovodkaz"/>
                <w:noProof/>
              </w:rPr>
              <w:t>6.7 Protikorozní ochrana – bludné proudy</w:t>
            </w:r>
            <w:r>
              <w:rPr>
                <w:noProof/>
                <w:webHidden/>
              </w:rPr>
              <w:tab/>
            </w:r>
            <w:r>
              <w:rPr>
                <w:noProof/>
                <w:webHidden/>
              </w:rPr>
              <w:fldChar w:fldCharType="begin"/>
            </w:r>
            <w:r>
              <w:rPr>
                <w:noProof/>
                <w:webHidden/>
              </w:rPr>
              <w:instrText xml:space="preserve"> PAGEREF _Toc456957693 \h </w:instrText>
            </w:r>
            <w:r>
              <w:rPr>
                <w:noProof/>
                <w:webHidden/>
              </w:rPr>
            </w:r>
            <w:r>
              <w:rPr>
                <w:noProof/>
                <w:webHidden/>
              </w:rPr>
              <w:fldChar w:fldCharType="separate"/>
            </w:r>
            <w:r>
              <w:rPr>
                <w:noProof/>
                <w:webHidden/>
              </w:rPr>
              <w:t>35</w:t>
            </w:r>
            <w:r>
              <w:rPr>
                <w:noProof/>
                <w:webHidden/>
              </w:rPr>
              <w:fldChar w:fldCharType="end"/>
            </w:r>
          </w:hyperlink>
        </w:p>
        <w:p w:rsidR="007F66EC" w:rsidRDefault="007F66EC">
          <w:pPr>
            <w:pStyle w:val="Obsah3"/>
            <w:tabs>
              <w:tab w:val="right" w:leader="dot" w:pos="9016"/>
            </w:tabs>
            <w:rPr>
              <w:noProof/>
            </w:rPr>
          </w:pPr>
          <w:hyperlink w:anchor="_Toc456957694" w:history="1">
            <w:r w:rsidRPr="00D331C0">
              <w:rPr>
                <w:rStyle w:val="Hypertextovodkaz"/>
                <w:noProof/>
              </w:rPr>
              <w:t>6.7.1. DC trakční proudová soustava</w:t>
            </w:r>
            <w:r>
              <w:rPr>
                <w:noProof/>
                <w:webHidden/>
              </w:rPr>
              <w:tab/>
            </w:r>
            <w:r>
              <w:rPr>
                <w:noProof/>
                <w:webHidden/>
              </w:rPr>
              <w:fldChar w:fldCharType="begin"/>
            </w:r>
            <w:r>
              <w:rPr>
                <w:noProof/>
                <w:webHidden/>
              </w:rPr>
              <w:instrText xml:space="preserve"> PAGEREF _Toc456957694 \h </w:instrText>
            </w:r>
            <w:r>
              <w:rPr>
                <w:noProof/>
                <w:webHidden/>
              </w:rPr>
            </w:r>
            <w:r>
              <w:rPr>
                <w:noProof/>
                <w:webHidden/>
              </w:rPr>
              <w:fldChar w:fldCharType="separate"/>
            </w:r>
            <w:r>
              <w:rPr>
                <w:noProof/>
                <w:webHidden/>
              </w:rPr>
              <w:t>35</w:t>
            </w:r>
            <w:r>
              <w:rPr>
                <w:noProof/>
                <w:webHidden/>
              </w:rPr>
              <w:fldChar w:fldCharType="end"/>
            </w:r>
          </w:hyperlink>
        </w:p>
        <w:p w:rsidR="007F66EC" w:rsidRDefault="007F66EC">
          <w:pPr>
            <w:pStyle w:val="Obsah3"/>
            <w:tabs>
              <w:tab w:val="right" w:leader="dot" w:pos="9016"/>
            </w:tabs>
            <w:rPr>
              <w:noProof/>
            </w:rPr>
          </w:pPr>
          <w:hyperlink w:anchor="_Toc456957695" w:history="1">
            <w:r w:rsidRPr="00D331C0">
              <w:rPr>
                <w:rStyle w:val="Hypertextovodkaz"/>
                <w:noProof/>
              </w:rPr>
              <w:t>6.7.2. AC trakční proudová soustava</w:t>
            </w:r>
            <w:r>
              <w:rPr>
                <w:noProof/>
                <w:webHidden/>
              </w:rPr>
              <w:tab/>
            </w:r>
            <w:r>
              <w:rPr>
                <w:noProof/>
                <w:webHidden/>
              </w:rPr>
              <w:fldChar w:fldCharType="begin"/>
            </w:r>
            <w:r>
              <w:rPr>
                <w:noProof/>
                <w:webHidden/>
              </w:rPr>
              <w:instrText xml:space="preserve"> PAGEREF _Toc456957695 \h </w:instrText>
            </w:r>
            <w:r>
              <w:rPr>
                <w:noProof/>
                <w:webHidden/>
              </w:rPr>
            </w:r>
            <w:r>
              <w:rPr>
                <w:noProof/>
                <w:webHidden/>
              </w:rPr>
              <w:fldChar w:fldCharType="separate"/>
            </w:r>
            <w:r>
              <w:rPr>
                <w:noProof/>
                <w:webHidden/>
              </w:rPr>
              <w:t>50</w:t>
            </w:r>
            <w:r>
              <w:rPr>
                <w:noProof/>
                <w:webHidden/>
              </w:rPr>
              <w:fldChar w:fldCharType="end"/>
            </w:r>
          </w:hyperlink>
        </w:p>
        <w:p w:rsidR="007F66EC" w:rsidRDefault="007F66EC">
          <w:pPr>
            <w:pStyle w:val="Obsah3"/>
            <w:tabs>
              <w:tab w:val="right" w:leader="dot" w:pos="9016"/>
            </w:tabs>
            <w:rPr>
              <w:noProof/>
            </w:rPr>
          </w:pPr>
          <w:hyperlink w:anchor="_Toc456957696" w:history="1">
            <w:r w:rsidRPr="00D331C0">
              <w:rPr>
                <w:rStyle w:val="Hypertextovodkaz"/>
                <w:noProof/>
              </w:rPr>
              <w:t>6.7.3  Náklady spojené s bludnými proudy</w:t>
            </w:r>
            <w:r>
              <w:rPr>
                <w:noProof/>
                <w:webHidden/>
              </w:rPr>
              <w:tab/>
            </w:r>
            <w:r>
              <w:rPr>
                <w:noProof/>
                <w:webHidden/>
              </w:rPr>
              <w:fldChar w:fldCharType="begin"/>
            </w:r>
            <w:r>
              <w:rPr>
                <w:noProof/>
                <w:webHidden/>
              </w:rPr>
              <w:instrText xml:space="preserve"> PAGEREF _Toc456957696 \h </w:instrText>
            </w:r>
            <w:r>
              <w:rPr>
                <w:noProof/>
                <w:webHidden/>
              </w:rPr>
            </w:r>
            <w:r>
              <w:rPr>
                <w:noProof/>
                <w:webHidden/>
              </w:rPr>
              <w:fldChar w:fldCharType="separate"/>
            </w:r>
            <w:r>
              <w:rPr>
                <w:noProof/>
                <w:webHidden/>
              </w:rPr>
              <w:t>52</w:t>
            </w:r>
            <w:r>
              <w:rPr>
                <w:noProof/>
                <w:webHidden/>
              </w:rPr>
              <w:fldChar w:fldCharType="end"/>
            </w:r>
          </w:hyperlink>
        </w:p>
        <w:p w:rsidR="007F66EC" w:rsidRDefault="007F66EC">
          <w:pPr>
            <w:pStyle w:val="Obsah1"/>
            <w:tabs>
              <w:tab w:val="right" w:leader="dot" w:pos="9016"/>
            </w:tabs>
            <w:rPr>
              <w:noProof/>
            </w:rPr>
          </w:pPr>
          <w:hyperlink w:anchor="_Toc456957697" w:history="1">
            <w:r w:rsidRPr="00D331C0">
              <w:rPr>
                <w:rStyle w:val="Hypertextovodkaz"/>
                <w:noProof/>
              </w:rPr>
              <w:t>6.8 Harmonogram přechodu na jednotný napájecí systém 25kV</w:t>
            </w:r>
            <w:r>
              <w:rPr>
                <w:noProof/>
                <w:webHidden/>
              </w:rPr>
              <w:tab/>
            </w:r>
            <w:r>
              <w:rPr>
                <w:noProof/>
                <w:webHidden/>
              </w:rPr>
              <w:fldChar w:fldCharType="begin"/>
            </w:r>
            <w:r>
              <w:rPr>
                <w:noProof/>
                <w:webHidden/>
              </w:rPr>
              <w:instrText xml:space="preserve"> PAGEREF _Toc456957697 \h </w:instrText>
            </w:r>
            <w:r>
              <w:rPr>
                <w:noProof/>
                <w:webHidden/>
              </w:rPr>
            </w:r>
            <w:r>
              <w:rPr>
                <w:noProof/>
                <w:webHidden/>
              </w:rPr>
              <w:fldChar w:fldCharType="separate"/>
            </w:r>
            <w:r>
              <w:rPr>
                <w:noProof/>
                <w:webHidden/>
              </w:rPr>
              <w:t>54</w:t>
            </w:r>
            <w:r>
              <w:rPr>
                <w:noProof/>
                <w:webHidden/>
              </w:rPr>
              <w:fldChar w:fldCharType="end"/>
            </w:r>
          </w:hyperlink>
        </w:p>
        <w:p w:rsidR="004D1A93" w:rsidRDefault="004D1A93">
          <w:r>
            <w:rPr>
              <w:b/>
              <w:bCs/>
            </w:rPr>
            <w:lastRenderedPageBreak/>
            <w:fldChar w:fldCharType="end"/>
          </w:r>
        </w:p>
      </w:sdtContent>
    </w:sdt>
    <w:p w:rsidR="004D1A93" w:rsidRDefault="004D1A93">
      <w:pPr>
        <w:rPr>
          <w:rFonts w:asciiTheme="majorHAnsi" w:eastAsiaTheme="majorEastAsia" w:hAnsiTheme="majorHAnsi" w:cstheme="majorBidi"/>
          <w:b/>
          <w:bCs/>
          <w:color w:val="365F91" w:themeColor="accent1" w:themeShade="BF"/>
          <w:sz w:val="28"/>
          <w:szCs w:val="28"/>
        </w:rPr>
      </w:pPr>
      <w:r>
        <w:br w:type="page"/>
      </w:r>
    </w:p>
    <w:p w:rsidR="0033227F" w:rsidRDefault="009C653E" w:rsidP="004A2E4A">
      <w:pPr>
        <w:pStyle w:val="Nadpis1"/>
        <w:ind w:left="720"/>
      </w:pPr>
      <w:bookmarkStart w:id="0" w:name="_Toc456957666"/>
      <w:r>
        <w:lastRenderedPageBreak/>
        <w:t>6</w:t>
      </w:r>
      <w:r w:rsidR="004A2E4A">
        <w:t xml:space="preserve">.1 </w:t>
      </w:r>
      <w:r>
        <w:t>Zabezpečovací zařízení</w:t>
      </w:r>
      <w:bookmarkEnd w:id="0"/>
    </w:p>
    <w:p w:rsidR="00A05E04" w:rsidRDefault="00A05E04" w:rsidP="00A05E04">
      <w:pPr>
        <w:rPr>
          <w:b/>
        </w:rPr>
      </w:pPr>
    </w:p>
    <w:p w:rsidR="009C653E" w:rsidRDefault="009C653E" w:rsidP="009C653E">
      <w:pPr>
        <w:pStyle w:val="Nadpis3"/>
      </w:pPr>
      <w:bookmarkStart w:id="1" w:name="_Toc456957667"/>
      <w:r>
        <w:t xml:space="preserve">6.1.1 </w:t>
      </w:r>
      <w:r w:rsidRPr="009C653E">
        <w:t>Vlastní technické řešení</w:t>
      </w:r>
      <w:bookmarkEnd w:id="1"/>
    </w:p>
    <w:p w:rsidR="009C653E" w:rsidRPr="009C653E" w:rsidRDefault="009C653E" w:rsidP="009C653E"/>
    <w:p w:rsidR="009C653E" w:rsidRDefault="009C653E" w:rsidP="009C653E">
      <w:pPr>
        <w:rPr>
          <w:sz w:val="24"/>
        </w:rPr>
      </w:pPr>
      <w:r>
        <w:rPr>
          <w:sz w:val="24"/>
        </w:rPr>
        <w:t>Rozhodujícím ukazatelem v tabulce je, zda SZZ a TZZ vyhovuje či ne. Pokud je zařízení vyhovující, uvažuje se většinou pouze výměna jeho kabelizace, v některých případech dochází i k výměně prostředků pro kontrolu volnosti úseků. Investiční náklady na výměnu jsou uvedeny v příslušných sloupcích tabulky. Výjimečně se v některých úsecích nacházejí zařízení, která vyhovují i včetně kabelizace a prostředků pro kontrolu volnosti.</w:t>
      </w:r>
    </w:p>
    <w:p w:rsidR="009C653E" w:rsidRDefault="009C653E" w:rsidP="009C653E">
      <w:pPr>
        <w:rPr>
          <w:sz w:val="24"/>
        </w:rPr>
      </w:pPr>
      <w:r>
        <w:rPr>
          <w:sz w:val="24"/>
        </w:rPr>
        <w:t>Pokud je zařízení nevyhovující, je navrženo jeho nahrazení zařízením novým, investiční náklady jsou komplexní a jsou uvedeny opět v příslušném sloupci tabulky. Nově zřizovaná zabezpečovací zařízení budou elektronická, budou 3. kategorie, musí umožňovat zapojení do DOZ a musí být schopna součinnosti s ETCS. U SZZ jsou v samostatném sloupci tabulky uvedeny navíc investiční náklady na zřízení technologického objektu pro umístění zařízení.</w:t>
      </w:r>
    </w:p>
    <w:p w:rsidR="009C653E" w:rsidRDefault="009C653E" w:rsidP="009C653E">
      <w:pPr>
        <w:rPr>
          <w:sz w:val="24"/>
        </w:rPr>
      </w:pPr>
      <w:r>
        <w:rPr>
          <w:sz w:val="24"/>
        </w:rPr>
        <w:t>Při přechodu na trakční soustavu 25 kV / 50 Hz bude nutné provést úpravy napájení pro některá SZZ včetně vstupních částí napájecích obvodů. V případě, že SZZ je napájeno ze zařízení DAK, je uvažováno s demontáží DAK a navrhuje se zřízení transformátoru pro napájení SZZ  z trakčního vedení 25 kV / 50 Hz včetně zřízení nové elektrické přípojky. V souvislosti s tím bude nutné upravit, respektive vyměnit vstupní napájecí rozvaděč SZZ. Pokud je SZZ ve stávajícím stavu napájeno pouze z místní sítě a nebo je navrženo zřízení úplně nového SZZ, navrhuje se též  zřízení transformátoru pro napájení SZZ  z trakčního vedení 25 kV / 50 Hz včetně zřízení nové elektrické přípojky. Investiční náklady na úpravy napájení jsou komplexně uvedeny v příslušném sloupci tabulky a cena je určena dle rozsahu úprav. Úpravy napájení nejsou navrhovány v úsecích, kde je dnes zajištěno napájení SZZ z magistrálního drážního rozvodu 6 kV / 50 Hz. Dále nejsou úpravy napájení navrhovány na neelektrizovaných tratích.</w:t>
      </w:r>
    </w:p>
    <w:p w:rsidR="009C653E" w:rsidRDefault="009C653E" w:rsidP="009C653E">
      <w:pPr>
        <w:rPr>
          <w:sz w:val="24"/>
        </w:rPr>
      </w:pPr>
      <w:r>
        <w:rPr>
          <w:sz w:val="24"/>
        </w:rPr>
        <w:t>V samostatném sloupci jsou uvedeny náklady na výměnu nevyhovujících PZS. Výměna PZS je uvažována jak u PZS které nevyhovují svým typem, tak i v obvodech všech SZZ, kde se navrhuje zřídit nové zařízení.</w:t>
      </w:r>
    </w:p>
    <w:p w:rsidR="009C653E" w:rsidRDefault="009C653E" w:rsidP="009C653E">
      <w:pPr>
        <w:pStyle w:val="Nadpis3"/>
      </w:pPr>
      <w:bookmarkStart w:id="2" w:name="_Toc456957668"/>
      <w:r>
        <w:t xml:space="preserve">6.1.2 </w:t>
      </w:r>
      <w:r w:rsidRPr="009C653E">
        <w:t>Investiční náklady</w:t>
      </w:r>
      <w:bookmarkEnd w:id="2"/>
    </w:p>
    <w:p w:rsidR="009C653E" w:rsidRPr="009C653E" w:rsidRDefault="009C653E" w:rsidP="009C653E"/>
    <w:p w:rsidR="009C653E" w:rsidRDefault="009C653E" w:rsidP="009C653E">
      <w:pPr>
        <w:rPr>
          <w:sz w:val="24"/>
        </w:rPr>
      </w:pPr>
      <w:r>
        <w:rPr>
          <w:sz w:val="24"/>
        </w:rPr>
        <w:t>Pro stanovení investičních nákladů byla použita cenová rozvaha zabezpečovacích zařízení, zpracovaná v minulých letech pro SŽDC s.o. Další potřebné cenové ukazatele byly navrženy podle již realizovaných projektů. Jednotkové ceny, vztahující se k výhybkovým jednotkám a k délkám úseků v km jsou v tabulce korigovány a liší se v závislosti na velikosti ŽST, délce úseku, počtu traťových kolejí a charakteru trati.</w:t>
      </w:r>
    </w:p>
    <w:p w:rsidR="009C653E" w:rsidRDefault="009C653E" w:rsidP="009C653E">
      <w:pPr>
        <w:rPr>
          <w:sz w:val="24"/>
        </w:rPr>
      </w:pPr>
    </w:p>
    <w:p w:rsidR="009C653E" w:rsidRDefault="009C653E" w:rsidP="009C653E">
      <w:pPr>
        <w:pStyle w:val="Nadpis3"/>
      </w:pPr>
      <w:bookmarkStart w:id="3" w:name="_Toc456957669"/>
      <w:r>
        <w:t xml:space="preserve">6.1.3 </w:t>
      </w:r>
      <w:r w:rsidRPr="009C653E">
        <w:t>Vazba na jiné stavby</w:t>
      </w:r>
      <w:bookmarkEnd w:id="3"/>
    </w:p>
    <w:p w:rsidR="009C653E" w:rsidRPr="009C653E" w:rsidRDefault="009C653E" w:rsidP="009C653E"/>
    <w:p w:rsidR="009C653E" w:rsidRDefault="009C653E" w:rsidP="009C653E">
      <w:pPr>
        <w:rPr>
          <w:sz w:val="24"/>
        </w:rPr>
      </w:pPr>
      <w:r>
        <w:rPr>
          <w:sz w:val="24"/>
        </w:rPr>
        <w:t>U některých tratí se předpokládá modernizace či optimalizace v rámci samostatných staveb a je zde plánováno zřízení nových zabezpečovacích zařízení z jiných investičních prostředků. Tato nová zabezpečovací zařízení budou již navržena tak, aby trakční proudové soustavě 25 kV / 50 Hz vyhověla. Náklady na zřízení těchto nových zabezpečovacích zařízení jsou v tabulce uvedeny, nejsou však započítávány v plné míře. Do investičních nákladů se započítává pouze navýšení ceny zařízení, které plyne z úprav pro trakční soustavu 25 kV / 50Hz. Navýšením se myslí rozdíl v ceně zabezpečovací kabelizace a v napájecí části SZZ. Na takto řešené úseky je upozorněno poznámkou.</w:t>
      </w:r>
    </w:p>
    <w:p w:rsidR="009C653E" w:rsidRDefault="009C653E" w:rsidP="009C653E">
      <w:pPr>
        <w:rPr>
          <w:sz w:val="24"/>
        </w:rPr>
      </w:pPr>
    </w:p>
    <w:p w:rsidR="009C653E" w:rsidRDefault="009C653E" w:rsidP="009C653E">
      <w:pPr>
        <w:pStyle w:val="Nadpis3"/>
      </w:pPr>
      <w:bookmarkStart w:id="4" w:name="_Toc456957670"/>
      <w:r>
        <w:t xml:space="preserve">6.1.4 </w:t>
      </w:r>
      <w:r w:rsidRPr="009C653E">
        <w:t>Provizorní styková místa</w:t>
      </w:r>
      <w:bookmarkEnd w:id="4"/>
    </w:p>
    <w:p w:rsidR="009C653E" w:rsidRPr="009C653E" w:rsidRDefault="009C653E" w:rsidP="009C653E"/>
    <w:p w:rsidR="009C653E" w:rsidRDefault="009C653E" w:rsidP="009C653E">
      <w:pPr>
        <w:rPr>
          <w:sz w:val="24"/>
        </w:rPr>
      </w:pPr>
      <w:r>
        <w:rPr>
          <w:sz w:val="24"/>
        </w:rPr>
        <w:t xml:space="preserve">V průběhu přepínání systémů trakčního napájení budou vznikat provizorní styková místa mezi systémy 3 kV a 25 kV s neutrálními poli a s nutností rozdělení kolejových obvodů. Tato provizorní styková místa budou většinou situována do traťových úseků. Proto je nutné počítat s dočasnými provizorními úpravami TZZ. Uvažovány jsou dvě varianty úprav, které se liší následovně. </w:t>
      </w:r>
    </w:p>
    <w:p w:rsidR="009C653E" w:rsidRPr="005B1610" w:rsidRDefault="009C653E" w:rsidP="009C653E">
      <w:pPr>
        <w:rPr>
          <w:sz w:val="24"/>
        </w:rPr>
      </w:pPr>
      <w:r>
        <w:rPr>
          <w:sz w:val="24"/>
        </w:rPr>
        <w:t>Varianta č.1 – pro dvoukolejné tratě s automatickým blokem a s traťovou rychlostí 130 až 160 km/h. Tato varianta předpokládá úplné doplnění kolejových obvodů do automatického bloku a neomezuje dopravu. Je zachován přenos kódu VZ, provádí se úpravy ETCS a DOZ, řešení uvažuje s investičními náklady cca 28.</w:t>
      </w:r>
      <w:r w:rsidRPr="005B1610">
        <w:rPr>
          <w:sz w:val="24"/>
        </w:rPr>
        <w:t>000.000,-</w:t>
      </w:r>
      <w:r>
        <w:rPr>
          <w:sz w:val="24"/>
        </w:rPr>
        <w:t xml:space="preserve"> Kč</w:t>
      </w:r>
    </w:p>
    <w:p w:rsidR="00A25F18" w:rsidRDefault="009C653E" w:rsidP="009C653E">
      <w:pPr>
        <w:rPr>
          <w:sz w:val="24"/>
        </w:rPr>
      </w:pPr>
      <w:r>
        <w:rPr>
          <w:sz w:val="24"/>
        </w:rPr>
        <w:t>Varianta č.2 – pro dvoukolejné i jednokolejné tratě s automatickým blokem nebo s automatickým hradlem s kolejovými obvody a s traťovou rychlostí do 120 km/h. Tato varianta předpokládá zřízení provizorního reléového domku na trati s výstrojí počítačů náprav. Místo styku bude překryto počítači náprav, které v daném prostoru nahradí kolejové obvody. Údaje o volnosti úseků počítačů náprav budou do přilehlých ŽST přeneseny po stávající kabelizaci.  V této variantě nebude v oblasti provizorního stykového místa přenášen kód VZ, proto zde bude rychlost vlaků omezena na 100 km/h. Pouze vlaky jedoucí pod dohledem ETCS nebudou rychlostně omezeny. Není nutné provádět úpravy ETCS a DOZ, řešení uvažuje s investičními náklady cca 9.5</w:t>
      </w:r>
      <w:r w:rsidRPr="005B1610">
        <w:rPr>
          <w:sz w:val="24"/>
        </w:rPr>
        <w:t>00.000,-</w:t>
      </w:r>
      <w:r>
        <w:rPr>
          <w:sz w:val="24"/>
        </w:rPr>
        <w:t xml:space="preserve"> Kč pro dvoukolejnou trať a 7.500.000,- Kč pro jednokolejnou trať.</w:t>
      </w:r>
    </w:p>
    <w:p w:rsidR="00A25F18" w:rsidRDefault="00A25F18">
      <w:pPr>
        <w:rPr>
          <w:sz w:val="24"/>
        </w:rPr>
      </w:pPr>
      <w:r>
        <w:rPr>
          <w:sz w:val="24"/>
        </w:rPr>
        <w:br w:type="page"/>
      </w:r>
    </w:p>
    <w:p w:rsidR="00A25F18" w:rsidRDefault="00A25F18" w:rsidP="00A25F18">
      <w:pPr>
        <w:pStyle w:val="Nadpis1"/>
        <w:ind w:left="720"/>
      </w:pPr>
      <w:bookmarkStart w:id="5" w:name="_Toc456957671"/>
      <w:r>
        <w:lastRenderedPageBreak/>
        <w:t>6.2 Sdělovací zařízení</w:t>
      </w:r>
      <w:bookmarkEnd w:id="5"/>
    </w:p>
    <w:p w:rsidR="00A25F18" w:rsidRDefault="00A25F18" w:rsidP="00A25F18"/>
    <w:p w:rsidR="00A25F18" w:rsidRDefault="00A25F18" w:rsidP="00A25F18">
      <w:pPr>
        <w:pStyle w:val="Nadpis3"/>
      </w:pPr>
      <w:bookmarkStart w:id="6" w:name="_Toc456957672"/>
      <w:r>
        <w:t xml:space="preserve">6.2.1 </w:t>
      </w:r>
      <w:r w:rsidRPr="00A25F18">
        <w:t>Dálkové metalické kabely</w:t>
      </w:r>
      <w:bookmarkEnd w:id="6"/>
    </w:p>
    <w:p w:rsidR="00A25F18" w:rsidRPr="00A25F18" w:rsidRDefault="00A25F18" w:rsidP="00A25F18"/>
    <w:p w:rsidR="00A25F18" w:rsidRDefault="00A25F18" w:rsidP="00A25F18">
      <w:pPr>
        <w:spacing w:line="312" w:lineRule="auto"/>
        <w:jc w:val="both"/>
      </w:pPr>
      <w:r>
        <w:t>Dálkové metalické kabely</w:t>
      </w:r>
      <w:r w:rsidRPr="00FB5CB0">
        <w:t xml:space="preserve"> </w:t>
      </w:r>
      <w:r>
        <w:t xml:space="preserve">typu DCKQ xxx, jak na elektrifikovaných tratích, tak i na přípojných tratích je navrženo před přepnutím ze stejnosměrné trakce 3kV na střídavou trakci 25kV/50H zrušit bez náhrady.  Podél stávajících elektrifikovaných tratí budou zrušena veškerá ukončení Dálkových metalických kabelů v jednotlivých ŽST a výpichy z těchto Dálkových metalických kabelů v dalších objektech. Dálkové metalické kabely na přípojných tratích budou zrušeny do bezpečné vzdálenosti od nově elektrifikované tratě střídavou trakcí 25kV/Hz. To znamená do vzdálenosti cca 5km a do nebližší dopravny nebo ŽST na přípojné trati. Kabelové skříně, kabelové stojany, kabelové závěry a další zařízení na těchto DK budou demontovány do šrotu. Výpichy a ukončení kabelů budou uřezána u vstupů do jednotlivých objektů. Dálkové metalické kabely budou ponechány v zemi.  Nepředpokládá se jejich vytahování ze země. </w:t>
      </w:r>
    </w:p>
    <w:p w:rsidR="00A25F18" w:rsidRDefault="00A25F18" w:rsidP="00A25F18">
      <w:pPr>
        <w:pStyle w:val="Nadpis3"/>
      </w:pPr>
      <w:bookmarkStart w:id="7" w:name="_Toc456957673"/>
      <w:r>
        <w:t xml:space="preserve">6.2.2 </w:t>
      </w:r>
      <w:r w:rsidRPr="00A25F18">
        <w:t>Traťové metalické kabely</w:t>
      </w:r>
      <w:bookmarkEnd w:id="7"/>
    </w:p>
    <w:p w:rsidR="00A25F18" w:rsidRPr="00A25F18" w:rsidRDefault="00A25F18" w:rsidP="00A25F18"/>
    <w:p w:rsidR="00A25F18" w:rsidRDefault="00A25F18" w:rsidP="00A25F18">
      <w:pPr>
        <w:spacing w:line="312" w:lineRule="auto"/>
        <w:jc w:val="both"/>
      </w:pPr>
      <w:r>
        <w:t>Traťové metalické kabely TCEKEY, TCEPKPFLEY  xxXN0, 8, jak na elektrifikovaných tratích, tak i na přípojných tratích je navrženo před přepnutím ze stejnosměrné trakce 3kV na střídavou trakci 25kV/50H zrušit bez náhrady.   Podél stávajících elektrifikovaných, budou zrušena veškerá ukončení Traťových metalických kabelů v jednotlivých ŽST a výpichy z těchto Dálkových metalických kabelů v dalších objektech. Traťové metalické kabely na přípojných tratích budou zrušeny do bezpečné vzdálenosti od nově elektrifikované tratě střídavou trakcí 25kV/Hz. To znamená do vzdálenosti cca 5km a do nebližší dopravny nebo ŽST na přípojné trati. Kabelové skříně, kabelové závěry a další zařízení na těchto Traťových kabelů budou demontovány do šrotu. Výpichy a ukončení kabelů budou uřezána u vstupů do jednotlivých objektů. Traťové metalické kabely budou ponechány v zemi.  Nepředpokládá se jejich vytahování ze země.</w:t>
      </w:r>
    </w:p>
    <w:p w:rsidR="00A25F18" w:rsidRPr="008077AE" w:rsidRDefault="00A25F18" w:rsidP="00A25F18">
      <w:pPr>
        <w:pStyle w:val="Odstavec1"/>
      </w:pPr>
      <w:r>
        <w:lastRenderedPageBreak/>
        <w:t xml:space="preserve">Traťové metalické kabely TCEKEZE, TCEPKPFLEZE xxXN0,8 musí být upraveny a hlavně musí být přizemněny pláště na všech vývodech jak v jednotlivých ŽST, tak i v ostatních objektech, kde jsou tyto kabely vyvedeny.  </w:t>
      </w:r>
      <w:r w:rsidRPr="00AD272F">
        <w:t xml:space="preserve">Kromě toho budou na základě vlivu rušivého a nebezpečného napětí indukovaného do vodiče v kabelu zřizovány na plášti kabelu doplňková mezilehlá uzemnění v hodnotě max. 10 ohmů v průměrné vzdálenosti 1km. </w:t>
      </w:r>
      <w:r>
        <w:t>Budou zkontrolována u</w:t>
      </w:r>
      <w:r w:rsidRPr="00BF5197">
        <w:t>končení metalick</w:t>
      </w:r>
      <w:r>
        <w:t>ých</w:t>
      </w:r>
      <w:r w:rsidRPr="00BF5197">
        <w:t xml:space="preserve"> </w:t>
      </w:r>
      <w:r>
        <w:t xml:space="preserve">kabelů, případně budou tato ukončení opravena. Dále budou, tam kde nejsou provedeny, doplněny bleskojistky na neochráněné žíly jednotlivých kabelů, stejně tak budou doplněny oddělovací translátory. </w:t>
      </w:r>
      <w:r w:rsidRPr="009071FA">
        <w:t xml:space="preserve">Ve skříních bude též umístěna výstražná tabulka pro zařízení pod vlivem vvn vedení. </w:t>
      </w:r>
      <w:r>
        <w:t xml:space="preserve">Musí být tedy provedena veškerá opatření dle </w:t>
      </w:r>
      <w:r w:rsidRPr="008077AE">
        <w:t>ustanovení ČSN 34 20 40 Předpisy pro ochranu sdělovacích a zabezpečovacích vedení a zařízení před nebezpečnými a rušivými vlivy elektrické trakce 25 kV/50Hz.</w:t>
      </w:r>
    </w:p>
    <w:p w:rsidR="00A25F18" w:rsidRPr="009071FA" w:rsidRDefault="00A25F18" w:rsidP="00A25F18">
      <w:pPr>
        <w:spacing w:line="312" w:lineRule="auto"/>
        <w:jc w:val="both"/>
      </w:pPr>
      <w:r>
        <w:t>Tam, kde nevyhoví stávající traťové kabely požadavkům nebo žádné traťové metalické kabely nejsou ani v současné době vystavěny, je navrženo vybudovat nové traťové kabely, které splní veškeré podmínky provozu pod elektrickou trakcí 25kV/50Hz. Kapacita (počet čtyřek) i nutnost výstavby těchto nových traťových kabelů bude dále řešena na jednotlivých tratích dle potřeb provozu v dalších etapách přechodu na střídavou trakci 25kV/50Hz.</w:t>
      </w:r>
    </w:p>
    <w:p w:rsidR="00A25F18" w:rsidRDefault="00A25F18" w:rsidP="00A25F18">
      <w:pPr>
        <w:pStyle w:val="Nadpis3"/>
      </w:pPr>
      <w:bookmarkStart w:id="8" w:name="_Toc456957674"/>
      <w:r>
        <w:t xml:space="preserve">6.2.3 </w:t>
      </w:r>
      <w:r w:rsidRPr="00A25F18">
        <w:t>Dálkové (i závěsné) optické kabely ČD-Telematika a.s.</w:t>
      </w:r>
      <w:bookmarkEnd w:id="8"/>
    </w:p>
    <w:p w:rsidR="00A25F18" w:rsidRPr="00A25F18" w:rsidRDefault="00A25F18" w:rsidP="00A25F18"/>
    <w:p w:rsidR="00A25F18" w:rsidRPr="00BF5197" w:rsidRDefault="00A25F18" w:rsidP="00A25F18">
      <w:pPr>
        <w:spacing w:line="312" w:lineRule="auto"/>
      </w:pPr>
      <w:r>
        <w:t>Dálkové optické kabely ČD-Telematika a.s. ze své podstaty nejsou ohroženy nebezpečnými vlivy trakce 25kV/50Hz a tak při přepnutí na tuto střídavou trakci 25kV/50Hz, není třeba na nich provádět žádná opatření proti nebezpečným vlivům elektrické trakce 25kV/50Hz.</w:t>
      </w:r>
    </w:p>
    <w:p w:rsidR="00A25F18" w:rsidRDefault="00A25F18" w:rsidP="00A25F18">
      <w:pPr>
        <w:pStyle w:val="Nadpis3"/>
      </w:pPr>
      <w:bookmarkStart w:id="9" w:name="_Toc456957675"/>
      <w:r>
        <w:t xml:space="preserve">6.2.4 </w:t>
      </w:r>
      <w:r w:rsidRPr="00A25F18">
        <w:t>Dálkové (i závěsné) optické kabely SŽDC s.o .</w:t>
      </w:r>
      <w:bookmarkEnd w:id="9"/>
    </w:p>
    <w:p w:rsidR="00A25F18" w:rsidRPr="00A25F18" w:rsidRDefault="00A25F18" w:rsidP="00A25F18"/>
    <w:p w:rsidR="00A25F18" w:rsidRPr="0015373B" w:rsidRDefault="00A25F18" w:rsidP="00A25F18">
      <w:pPr>
        <w:spacing w:line="312" w:lineRule="auto"/>
      </w:pPr>
      <w:r w:rsidRPr="0015373B">
        <w:t>Ve stávajícím stavu jsou podél jednotlivé elektrifikované železniční úseky vybaveny:</w:t>
      </w:r>
    </w:p>
    <w:p w:rsidR="00A25F18" w:rsidRPr="0015373B" w:rsidRDefault="00A25F18" w:rsidP="00A25F18">
      <w:pPr>
        <w:pStyle w:val="Odstavecseseznamem"/>
        <w:numPr>
          <w:ilvl w:val="0"/>
          <w:numId w:val="28"/>
        </w:numPr>
        <w:autoSpaceDE w:val="0"/>
        <w:autoSpaceDN w:val="0"/>
        <w:adjustRightInd w:val="0"/>
        <w:spacing w:before="120" w:after="0" w:line="312" w:lineRule="auto"/>
      </w:pPr>
      <w:r w:rsidRPr="0015373B">
        <w:t>Stávající DOK do 48 vláken (např. Benešov u Prahy – Praha Hostivař)</w:t>
      </w:r>
    </w:p>
    <w:p w:rsidR="00A25F18" w:rsidRPr="0015373B" w:rsidRDefault="00A25F18" w:rsidP="00A25F18">
      <w:pPr>
        <w:pStyle w:val="Odstavecseseznamem"/>
        <w:numPr>
          <w:ilvl w:val="0"/>
          <w:numId w:val="28"/>
        </w:numPr>
        <w:autoSpaceDE w:val="0"/>
        <w:autoSpaceDN w:val="0"/>
        <w:adjustRightInd w:val="0"/>
        <w:spacing w:before="120" w:after="0" w:line="312" w:lineRule="auto"/>
      </w:pPr>
      <w:r w:rsidRPr="0015373B">
        <w:t>Stávající DOK 72 vláken a více (např. Kolín – Pardubice)</w:t>
      </w:r>
    </w:p>
    <w:p w:rsidR="00A25F18" w:rsidRPr="0015373B" w:rsidRDefault="00A25F18" w:rsidP="00A25F18">
      <w:pPr>
        <w:pStyle w:val="Odstavecseseznamem"/>
        <w:numPr>
          <w:ilvl w:val="0"/>
          <w:numId w:val="28"/>
        </w:numPr>
        <w:autoSpaceDE w:val="0"/>
        <w:autoSpaceDN w:val="0"/>
        <w:adjustRightInd w:val="0"/>
        <w:spacing w:before="120" w:after="0" w:line="312" w:lineRule="auto"/>
      </w:pPr>
      <w:r w:rsidRPr="0015373B">
        <w:t>Stávající (např. Praha Holešovice – Kralupy nad Vltavou)</w:t>
      </w:r>
    </w:p>
    <w:p w:rsidR="00A25F18" w:rsidRPr="0015373B" w:rsidRDefault="00A25F18" w:rsidP="00A25F18">
      <w:pPr>
        <w:pStyle w:val="Odstavecseseznamem"/>
        <w:numPr>
          <w:ilvl w:val="0"/>
          <w:numId w:val="28"/>
        </w:numPr>
        <w:autoSpaceDE w:val="0"/>
        <w:autoSpaceDN w:val="0"/>
        <w:adjustRightInd w:val="0"/>
        <w:spacing w:before="120" w:after="0" w:line="312" w:lineRule="auto"/>
      </w:pPr>
      <w:r w:rsidRPr="0015373B">
        <w:t>Bez stávajícího DOK (např. Lysá nad Labem – Ústí nad Labem)</w:t>
      </w:r>
    </w:p>
    <w:p w:rsidR="00A25F18" w:rsidRPr="0015373B" w:rsidRDefault="00A25F18" w:rsidP="00A25F18">
      <w:pPr>
        <w:spacing w:line="26" w:lineRule="atLeast"/>
      </w:pPr>
      <w:r w:rsidRPr="0015373B">
        <w:t>Řešení jednotlivých případů je n</w:t>
      </w:r>
      <w:r>
        <w:t>a</w:t>
      </w:r>
      <w:r w:rsidRPr="0015373B">
        <w:t>vrženo následující:</w:t>
      </w:r>
    </w:p>
    <w:p w:rsidR="00A25F18" w:rsidRPr="0015373B" w:rsidRDefault="00A25F18" w:rsidP="00A25F18">
      <w:pPr>
        <w:pStyle w:val="Odstavecseseznamem"/>
        <w:numPr>
          <w:ilvl w:val="0"/>
          <w:numId w:val="29"/>
        </w:numPr>
        <w:autoSpaceDE w:val="0"/>
        <w:autoSpaceDN w:val="0"/>
        <w:adjustRightInd w:val="0"/>
        <w:spacing w:before="120" w:after="0" w:line="240" w:lineRule="auto"/>
      </w:pPr>
      <w:r w:rsidRPr="0015373B">
        <w:t xml:space="preserve">Železniční úseky se stávajícím DOK do 48 vláken </w:t>
      </w:r>
    </w:p>
    <w:p w:rsidR="00A25F18" w:rsidRPr="0015373B" w:rsidRDefault="00A25F18" w:rsidP="00A25F18">
      <w:pPr>
        <w:spacing w:line="312" w:lineRule="auto"/>
        <w:jc w:val="both"/>
      </w:pPr>
      <w:r w:rsidRPr="0015373B">
        <w:t>Z důvodu rušení starých Dálkových metalických kabelů a vzrůstem dalších nároků na vlákna v dálkových optických kabelech, je navrženo položit druhý optický kabel tzv. Traťový optický kabel (TOK) s minimálně 48 vlákny. Tento TOK bude zafouknut buď do rezervní  HDPE trubky 40/33 nebo bude položena nová HDPE trubka 40/33 pro tento TOK. TOK bude vyváděn dle potřeb technologií na různých místech podél železniční trati (např. přejezdy) .</w:t>
      </w:r>
      <w:r>
        <w:t xml:space="preserve">  </w:t>
      </w:r>
      <w:r w:rsidRPr="0015373B">
        <w:t>Ve výsledku tedy podle určených železničních tratí budou položeny dva optické kabely a to Dálkový optický kabel a Traťový optický kabel.</w:t>
      </w:r>
    </w:p>
    <w:p w:rsidR="00A25F18" w:rsidRPr="0015373B" w:rsidRDefault="00A25F18" w:rsidP="00A25F18">
      <w:pPr>
        <w:pStyle w:val="Odstavecseseznamem"/>
        <w:numPr>
          <w:ilvl w:val="0"/>
          <w:numId w:val="29"/>
        </w:numPr>
        <w:autoSpaceDE w:val="0"/>
        <w:autoSpaceDN w:val="0"/>
        <w:adjustRightInd w:val="0"/>
        <w:spacing w:before="120" w:after="0" w:line="312" w:lineRule="auto"/>
      </w:pPr>
      <w:r w:rsidRPr="0015373B">
        <w:lastRenderedPageBreak/>
        <w:t>Železniční úseky se stávajícím DOK 72 vláken a více</w:t>
      </w:r>
    </w:p>
    <w:p w:rsidR="00A25F18" w:rsidRPr="0015373B" w:rsidRDefault="00A25F18" w:rsidP="00A25F18">
      <w:pPr>
        <w:spacing w:line="312" w:lineRule="auto"/>
        <w:jc w:val="both"/>
      </w:pPr>
      <w:r w:rsidRPr="0015373B">
        <w:t>Pokud je podél železniční ho úseku položen Dálkový optický kabel s počtem 72 vláken a více nebude pokládán nový Traťový optický kabel (TOK). Stávající DOK bude upraven a nově vyveden dle potřeb technologií. Tedy např. u přejezdů a na zastávkách. Kapacitně tedy tento DOK vyhoví na zvýšené nároky na počet vláken v optických kabelech.</w:t>
      </w:r>
    </w:p>
    <w:p w:rsidR="00A25F18" w:rsidRPr="0015373B" w:rsidRDefault="00A25F18" w:rsidP="00A25F18">
      <w:pPr>
        <w:pStyle w:val="Odstavecseseznamem"/>
        <w:numPr>
          <w:ilvl w:val="0"/>
          <w:numId w:val="29"/>
        </w:numPr>
        <w:autoSpaceDE w:val="0"/>
        <w:autoSpaceDN w:val="0"/>
        <w:adjustRightInd w:val="0"/>
        <w:spacing w:before="120" w:after="0" w:line="240" w:lineRule="auto"/>
      </w:pPr>
      <w:r w:rsidRPr="0015373B">
        <w:t xml:space="preserve">Železniční úseky se stávajícím DOK 2x DOK do 48 vláken </w:t>
      </w:r>
    </w:p>
    <w:p w:rsidR="00A25F18" w:rsidRPr="0015373B" w:rsidRDefault="00A25F18" w:rsidP="00A25F18">
      <w:pPr>
        <w:spacing w:line="312" w:lineRule="auto"/>
        <w:jc w:val="both"/>
      </w:pPr>
      <w:r w:rsidRPr="0015373B">
        <w:t>Pokud jsou podél železniční ho úseku položeny dva Dálkové optické kabely v součtu vláken minimálně 72 vláken a více nebude pokládán nový Traťový optický kabel (TOK). Jeden z DOK bude přejmenován na Traťový optický kabel a tento TOK bude upraven a nově vyveden dle potřeb technologií. Tedy např. u přejezdů a na zastávkách. Kapacitně tedy tyto DOK a TOK vyhoví na zvýšené nároky na počet vláken v optických kabelech.</w:t>
      </w:r>
    </w:p>
    <w:p w:rsidR="00A25F18" w:rsidRPr="0015373B" w:rsidRDefault="00A25F18" w:rsidP="00A25F18">
      <w:pPr>
        <w:pStyle w:val="Odstavecseseznamem"/>
        <w:numPr>
          <w:ilvl w:val="0"/>
          <w:numId w:val="29"/>
        </w:numPr>
        <w:autoSpaceDE w:val="0"/>
        <w:autoSpaceDN w:val="0"/>
        <w:adjustRightInd w:val="0"/>
        <w:spacing w:before="120" w:after="0" w:line="240" w:lineRule="auto"/>
      </w:pPr>
      <w:r w:rsidRPr="0015373B">
        <w:t>Železniční úseky bez stávajícího DOK</w:t>
      </w:r>
    </w:p>
    <w:p w:rsidR="00A25F18" w:rsidRDefault="00A25F18" w:rsidP="00A25F18">
      <w:pPr>
        <w:spacing w:line="312" w:lineRule="auto"/>
        <w:jc w:val="both"/>
      </w:pPr>
      <w:r w:rsidRPr="0015373B">
        <w:t xml:space="preserve">Podél těchto železničních úseků je navrženo položit dvě HDPE trubky 40/33. Do každé z těchto HDPE trubek bude zafouknut optický kabel s 48-mi vlákny. Jeden z těchto optických </w:t>
      </w:r>
      <w:r>
        <w:t xml:space="preserve">kabelů bude veden jako Dálkový optický kabel a bude vyváděn jen v Železničních stanicích. Druhý optický kabel pak bude tkzv. Traťový optický kabel (TOK) a bude vyváděn, jak v Železničních stanicích, tak např. u přejezdů a na zastávkách podle potřeb technologií. </w:t>
      </w:r>
    </w:p>
    <w:p w:rsidR="00A25F18" w:rsidRDefault="00A25F18" w:rsidP="00A25F18">
      <w:pPr>
        <w:spacing w:line="312" w:lineRule="auto"/>
        <w:jc w:val="both"/>
      </w:pPr>
      <w:r>
        <w:t>Dálkové optické kabely položené na přípojných železničních tratích do elektrifikovaných železničních tratí nemusejí být nijak upravovány. Vliv přepnutí ze stejnosměrné trakce 3kV na střídavou trakci 25kV/50H na ně je nulový. Pouze na požadavek správců a provozovatelů mohou být tato dálkové optické kabely vyměněny za dálkové optické kabely s vyšším počtem vláken.  Jejich výměna pak proběhne tak, že stávající DOK budou vytaženy ze stávajících HDPE trubek 40/33 a na jejich místo budou zafouknuty nové dálkové optické kabely.</w:t>
      </w:r>
    </w:p>
    <w:p w:rsidR="00A25F18" w:rsidRDefault="00A25F18" w:rsidP="00A25F18">
      <w:pPr>
        <w:pStyle w:val="Nadpis3"/>
      </w:pPr>
      <w:bookmarkStart w:id="10" w:name="_Toc456957676"/>
      <w:r>
        <w:t xml:space="preserve">6.2.5 </w:t>
      </w:r>
      <w:r w:rsidRPr="00A25F18">
        <w:t>Hybridní dálkové kabely</w:t>
      </w:r>
      <w:bookmarkEnd w:id="10"/>
      <w:r w:rsidRPr="00A25F18">
        <w:t xml:space="preserve"> </w:t>
      </w:r>
    </w:p>
    <w:p w:rsidR="00A25F18" w:rsidRPr="00A25F18" w:rsidRDefault="00A25F18" w:rsidP="00A25F18"/>
    <w:p w:rsidR="00A25F18" w:rsidRDefault="00A25F18" w:rsidP="00A25F18">
      <w:pPr>
        <w:spacing w:line="312" w:lineRule="auto"/>
        <w:jc w:val="both"/>
      </w:pPr>
      <w:r>
        <w:t>Hybridní dálkové kabely TCEPKPFLEY xxXN0,8+xxvláken (SM)</w:t>
      </w:r>
      <w:r w:rsidRPr="00057E76">
        <w:t xml:space="preserve"> </w:t>
      </w:r>
      <w:r>
        <w:t xml:space="preserve"> na přípojných tratích je navrženo před přepnutím ze stejnosměrné trakce 3kV na střídavou trakci 25kV/50H zrušit bez náhrady. Hybridní dálkové kabely na přípojných tratích budou zrušeny do bezpečné vzdálenosti od nově elektrifikované tratě střídavou trakcí 25kV/Hz. To znamená do vzdálenosti cca 5km a do nebližší dopravny nebo ŽST na přípojné trati. Kabelové skříně, kabelové závěry a další zařízení na těchto Hybridních kabelů budou demontovány do šrotu. Výpichy a ukončení kabelů budou uřezána u vstupů do jednotlivých objektů. Traťové metalické kabely budou ponechány v zemi.  Nepředpokládá se jejich vytahování ze země.</w:t>
      </w:r>
    </w:p>
    <w:p w:rsidR="00A25F18" w:rsidRPr="008077AE" w:rsidRDefault="00A25F18" w:rsidP="00A25F18">
      <w:pPr>
        <w:pStyle w:val="Odstavec1"/>
      </w:pPr>
      <w:r>
        <w:t>Hybridní dálkové kabely TCEPKPFLEZE xxXN0,8+xxvláken (SM)</w:t>
      </w:r>
      <w:r w:rsidRPr="00057E76">
        <w:t xml:space="preserve"> </w:t>
      </w:r>
      <w:r>
        <w:t xml:space="preserve">musí být upraveny a hlavně musí být přizemněny pláště na všech vývodech jak v jednotlivých ŽST, tak i v ostatních objektech, kde jsou tyto kabely vyvedeny. </w:t>
      </w:r>
      <w:r w:rsidRPr="00AD272F">
        <w:t xml:space="preserve">Kromě toho budou na základě vlivu rušivého a nebezpečného napětí indukovaného do vodiče v kabelu zřizovány na plášti kabelu doplňková mezilehlá uzemnění </w:t>
      </w:r>
      <w:r w:rsidRPr="00AD272F">
        <w:lastRenderedPageBreak/>
        <w:t>v hodnotě max. 10 ohmů v průměrné vzdálenosti 1km.</w:t>
      </w:r>
      <w:r>
        <w:t>Budou zkontrolována u</w:t>
      </w:r>
      <w:r w:rsidRPr="00BF5197">
        <w:t>končení metalick</w:t>
      </w:r>
      <w:r>
        <w:t>ých</w:t>
      </w:r>
      <w:r w:rsidRPr="00BF5197">
        <w:t xml:space="preserve"> </w:t>
      </w:r>
      <w:r>
        <w:t xml:space="preserve">kabelů, případně budou tato ukončení opravena. Dále budou, tam kde nejsou provedeny, doplněny bleskojistky na neochráněné žíly jednotlivých kabelů, stejně tak budou doplněny oddělovací translátory. </w:t>
      </w:r>
      <w:r w:rsidRPr="009071FA">
        <w:t xml:space="preserve">Ve skříních bude též umístěna výstražná tabulka pro zařízení pod vlivem vvn vedení. </w:t>
      </w:r>
      <w:r>
        <w:t xml:space="preserve">Musí být tedy provedena veškerá opatření dle </w:t>
      </w:r>
      <w:r w:rsidRPr="008077AE">
        <w:t>ustanovení ČSN 34 20 40 Předpisy pro ochranu sdělovacích a zabezpečovacích vedení a zařízení před nebezpečnými a rušivými vlivy elektrické trakce 25 kV/50Hz.</w:t>
      </w:r>
    </w:p>
    <w:p w:rsidR="00A25F18" w:rsidRDefault="00A25F18" w:rsidP="00A25F18">
      <w:pPr>
        <w:pStyle w:val="Odstavec1"/>
      </w:pPr>
      <w:r>
        <w:t xml:space="preserve">Tam, kde nevyhoví stávající hybridní kabely požadavkům, je navrženo vybudovat nové traťové kabely, které splní veškeré podmínky provozu pod elektrickou trakcí 25kV/50Hz. </w:t>
      </w:r>
      <w:r>
        <w:rPr>
          <w:lang w:eastAsia="cs-CZ"/>
        </w:rPr>
        <w:t xml:space="preserve">Traťový metalický kabel bude v provedení TCEPKPFLEZE xxXN0,8. </w:t>
      </w:r>
      <w:r>
        <w:t>Kapacita (počet čtyřek) i nutnost výstavby těchto nových traťových kabelů bude dále řešena na jednotlivých tratích dle potřeb provozu v dalších etapách přechodu na střídavou trakci 25kV/50Hz. Dále je zde navrženo vybudovat nové Přípojné optické kabely s potřebným počtem optických vláken. Optické kabely budou zafouknuty do předpoložených HDPE trubek 40/33. Je též navrženo vždy položit HDPE trubku 40/33 rezervní.   Přípojné optické kabely budou v provedení (SM) s počtem vláken 12 a vyšší, dle požadavků provozu.</w:t>
      </w:r>
    </w:p>
    <w:p w:rsidR="00A25F18" w:rsidRDefault="00A25F18" w:rsidP="00A25F18">
      <w:pPr>
        <w:spacing w:line="312" w:lineRule="auto"/>
      </w:pPr>
      <w:r>
        <w:t>Jestliže již nyní kapacitně nepostačuje u přípojné železniční tratě počet vláken ve stávajícím Hybridním dálkovém kabelu</w:t>
      </w:r>
      <w:r w:rsidRPr="001D4540">
        <w:t xml:space="preserve"> </w:t>
      </w:r>
      <w:r>
        <w:t>TCEPKPFLEZE xxXN0,8+xxvláken (SM), je navrženo položit nový přípojný optický kabel potřebného profilu i k tomuto stávajícímu Hybridnímu dálkovému kabelu.</w:t>
      </w:r>
    </w:p>
    <w:p w:rsidR="00A25F18" w:rsidRDefault="00A25F18" w:rsidP="00A25F18">
      <w:pPr>
        <w:spacing w:line="312" w:lineRule="auto"/>
      </w:pPr>
    </w:p>
    <w:p w:rsidR="00A25F18" w:rsidRDefault="00A25F18" w:rsidP="00A25F18">
      <w:pPr>
        <w:pStyle w:val="Nadpis3"/>
      </w:pPr>
      <w:bookmarkStart w:id="11" w:name="_Toc456957677"/>
      <w:r>
        <w:t xml:space="preserve">6.2.6 </w:t>
      </w:r>
      <w:r w:rsidRPr="00A25F18">
        <w:t>Přípojné železniční tratě bez připojení pomocí sdělovacích kabelů SŽDC s.o.</w:t>
      </w:r>
      <w:bookmarkEnd w:id="11"/>
    </w:p>
    <w:p w:rsidR="00A25F18" w:rsidRPr="00A25F18" w:rsidRDefault="00A25F18" w:rsidP="00A25F18"/>
    <w:p w:rsidR="00A25F18" w:rsidRPr="00596420" w:rsidRDefault="00A25F18" w:rsidP="00A25F18">
      <w:pPr>
        <w:spacing w:line="312" w:lineRule="auto"/>
        <w:rPr>
          <w:b/>
          <w:u w:val="single"/>
        </w:rPr>
      </w:pPr>
      <w:r w:rsidRPr="002830A9">
        <w:t>Na všech přípojných železničních tratích</w:t>
      </w:r>
      <w:r>
        <w:t xml:space="preserve"> zaústěných</w:t>
      </w:r>
      <w:r w:rsidRPr="00FC32D0">
        <w:t xml:space="preserve"> </w:t>
      </w:r>
      <w:r>
        <w:t>do elektrifikovaných tratí, na které nejsou vůbec připojeny některým ze sdělovacích kabelů SŽDC s.o., je navrženo do bezpečné vzdálenosti od nově elektrifikované tratě střídavou trakcí 25kV/Hz nový traťový a nový přípojný optický kabel. To znamená položení těchto kabelů do vzdálenosti cca 5km od elektrifikované trati a do nebližší dopravny nebo ŽST na přípojné trati.  Traťový metalický kabel bude v provedení TCEPKPFLEZE xxXN0,8. Nové traťové kabely, které splní veškeré podmínky provozu pod elektrickou trakcí 25kV/50Hz. Kapacita (počet čtyřek) i nutnost výstavby těchto nových traťových kabelů bude dále řešena na jednotlivých tratích dle potřeb provozu v dalších etapách přechodu na střídavou trakci 25kV/50Hz. Dále je zde navrženo vybudovat nové Přípojné optické kabely s potřebným počtem optických vláken. Optické kabely budou zafouknuty do předpoložených HDPE trubek 40/33. Je též navrženo vždy položit HDPE trubku 40/33 rezervní.   Přípojné optické kabely budou v provedení (SM) s počtem vláken 12 a vyšší, dle požadavků provozu.</w:t>
      </w:r>
      <w:r w:rsidRPr="00021F86">
        <w:t xml:space="preserve"> </w:t>
      </w:r>
    </w:p>
    <w:p w:rsidR="00A25F18" w:rsidRDefault="00A25F18" w:rsidP="00A25F18">
      <w:pPr>
        <w:pStyle w:val="Nadpis3"/>
      </w:pPr>
      <w:bookmarkStart w:id="12" w:name="_Toc456957678"/>
      <w:r>
        <w:t xml:space="preserve">6.2.7 </w:t>
      </w:r>
      <w:r w:rsidRPr="00A25F18">
        <w:t>Místní kabelizace v jednotlivých ŽST</w:t>
      </w:r>
      <w:bookmarkEnd w:id="12"/>
    </w:p>
    <w:p w:rsidR="00A25F18" w:rsidRPr="00A25F18" w:rsidRDefault="00A25F18" w:rsidP="00A25F18"/>
    <w:p w:rsidR="00A25F18" w:rsidRPr="00596420" w:rsidRDefault="00A25F18" w:rsidP="00A25F18">
      <w:pPr>
        <w:spacing w:line="312" w:lineRule="auto"/>
        <w:jc w:val="both"/>
      </w:pPr>
      <w:r w:rsidRPr="00596420">
        <w:t xml:space="preserve">Místní metalické kabelizace v jednotlivých ŽST, jejichž provedení je kabely TCKQ, TCEKEY, TCEPKPFLEY xxXN0,6 (0,8) musí být kompletně nově vystavěny a nahrazeny kabely typu TCEPKPFLEZE xxXN0,6 (0,8) před přepnutím trakční soustavy ze stejnosměrné trakce 3kV na </w:t>
      </w:r>
      <w:r w:rsidRPr="00596420">
        <w:lastRenderedPageBreak/>
        <w:t>střídavou trakci 25kV/50Hz. Nové místní metalické kabely TCEPKPFLEZE xxXN0,6 (0,8) musí mít přizemněny pláště na všech vývodech jak ve sdělovacích místnostech, tak i v ostatních objektech, kde jsou tyto kabely vyvedeny.  Pokud budou některé místní metalické kabely delší než 1 km, pak budou na základě vlivu rušivého a nebezpečného napětí indukovaného do vodiče v kabelu zřizovány na plášti kabelu doplňková mezilehlá uzemnění v hodnotě max. 10 ohmů v průměrné vzdálenosti 1km. Dále budou provedeny bleskojistky žíly jednotlivých kabelů, stejně tak budou doplněny oddělovací translátory. Ve skříních bude též umístěna výstražná tabulka pro zařízení pod vlivem vvn vedení. Musí být tedy provedena veškerá opatření dle ustanovení ČSN 34 20 40 Předpisy pro ochranu sdělovacích a zabezpečovacích vedení a zařízení před nebezpečnými a rušivými vlivy elektrické trakce 25 kV/50Hz.</w:t>
      </w:r>
    </w:p>
    <w:p w:rsidR="00A25F18" w:rsidRPr="008077AE" w:rsidRDefault="00A25F18" w:rsidP="00A25F18">
      <w:pPr>
        <w:pStyle w:val="Odstavec1"/>
      </w:pPr>
      <w:r w:rsidRPr="00A30B3D">
        <w:t>Místní metalické kabelizace v jednotlivých ŽST, jejichž provedení je kabely</w:t>
      </w:r>
      <w:r>
        <w:t xml:space="preserve"> TCEKEZE, TCEPKPFLEZE xxXN0,6 (0,8) musí být upraveny a hlavně musí být přizemněny pláště na všech vývodech jak v jednotlivých sdělovacích místnostech, tak i v ostatních objektech, kde jsou tyto kabely vyvedeny.  </w:t>
      </w:r>
      <w:r w:rsidRPr="00A30B3D">
        <w:t xml:space="preserve">Pokud budou některé místní metalické kabely delší než 1 km, pak budou na základě vlivu rušivého a nebezpečného napětí indukovaného do vodiče v kabelu zřizovány na plášti kabelu doplňková mezilehlá uzemnění v hodnotě max. 10 ohmů v průměrné vzdálenosti 1km. </w:t>
      </w:r>
      <w:r>
        <w:t xml:space="preserve">Dále budou, tam kde nejsou provedeny, doplněny bleskojistky na neochráněné žíly jednotlivých kabelů, stejně tak budou doplněny oddělovací translátory. </w:t>
      </w:r>
      <w:r w:rsidRPr="009071FA">
        <w:t xml:space="preserve">Ve skříních bude též umístěna výstražná tabulka pro zařízení pod vlivem vvn vedení. </w:t>
      </w:r>
      <w:r>
        <w:t xml:space="preserve">Musí být tedy provedena veškerá opatření dle </w:t>
      </w:r>
      <w:r w:rsidRPr="008077AE">
        <w:t>ustanovení ČSN 34 20 40 Předpisy pro ochranu sdělovacích a zabezpečovacích vedení a zařízení před nebezpečnými a rušivými vlivy elektrické trakce 25 kV/50Hz.</w:t>
      </w:r>
    </w:p>
    <w:p w:rsidR="00A25F18" w:rsidRPr="0082325F" w:rsidRDefault="00A25F18" w:rsidP="00A25F18">
      <w:pPr>
        <w:rPr>
          <w:color w:val="FF0000"/>
          <w:highlight w:val="yellow"/>
        </w:rPr>
      </w:pPr>
      <w:r w:rsidRPr="00470F1B">
        <w:tab/>
      </w:r>
    </w:p>
    <w:p w:rsidR="00A25F18" w:rsidRDefault="00A25F18" w:rsidP="00A25F18">
      <w:pPr>
        <w:pStyle w:val="Nadpis3"/>
      </w:pPr>
      <w:bookmarkStart w:id="13" w:name="_Toc456957679"/>
      <w:r>
        <w:t xml:space="preserve">6.2.8 </w:t>
      </w:r>
      <w:r w:rsidRPr="00A25F18">
        <w:t>Přenosový systém</w:t>
      </w:r>
      <w:bookmarkEnd w:id="13"/>
      <w:r w:rsidRPr="00A25F18">
        <w:t xml:space="preserve"> </w:t>
      </w:r>
    </w:p>
    <w:p w:rsidR="00A25F18" w:rsidRPr="00A25F18" w:rsidRDefault="00A25F18" w:rsidP="00A25F18"/>
    <w:p w:rsidR="00A25F18" w:rsidRDefault="00A25F18" w:rsidP="00A25F18">
      <w:pPr>
        <w:spacing w:line="312" w:lineRule="auto"/>
      </w:pPr>
      <w:r>
        <w:t>V</w:t>
      </w:r>
      <w:r w:rsidRPr="00BC5F26">
        <w:t> předchozí analýz</w:t>
      </w:r>
      <w:r>
        <w:t>e výpočtu indukovaných napětí  na  metalické kabely uložené podél elektrifikované tratě trakční soustavou 25kV/50Hz jsou vypočítány  vlivy na jeden  kabel s pláštěm –ZE o profilu 10-15XN0,8. Hodnota indukovaného napětí   překračuje  povolenou hodnotu z hlediska nebezpečného dotykového napětí. Zde musíme spoléhat na souběh sdělovacího kabelu  s kabely pro zabezpečovací zařízení, pak můžeme uvažovat s hodnotou redukčního činitele o cca ½ nižší než při uvažování pouze snížení  redukčního činitele jednoho kabelu vlivem kolejí. Tyto úvahy jsou pouze pro indukované napětí z hlediska nebezpečného dotykového napětí nikoliv z hlediska rušivého indukovaného napětí. Meze rušivých vlivů jsou dané  ČSN 34 2040 pro různé druhy okruhů. Jedná se o okruhy  telefonní ho účastnického  vedení kde hodnota nesmí být   ≥1mV u rozhlasového  okruhu v kabelu nesmí být ≥1mV  než 6,2mV.</w:t>
      </w:r>
    </w:p>
    <w:p w:rsidR="00A25F18" w:rsidRDefault="00A25F18" w:rsidP="00A25F18">
      <w:pPr>
        <w:spacing w:line="312" w:lineRule="auto"/>
      </w:pPr>
      <w:r>
        <w:t xml:space="preserve">Z těchto důvodů navrhujeme nahradit stávající metalická kabelová vedení  optickými kabely a to jak dálkové tak i traťové.  Pro přenos stávajících okruhů na TK nebo DK je nutné  navrhnout nové přenosové systémy.  Na tratích kde bude změněna trakční soustava 3kV na 25kV/50Hz jsou  optické </w:t>
      </w:r>
      <w:r>
        <w:lastRenderedPageBreak/>
        <w:t>kabely  a nebo budou vybudovány.  Návrh výstavby nových DOK, TOK nebo úpravy stávajících DOK je  uveden  v předchozích kapitolách.</w:t>
      </w:r>
    </w:p>
    <w:p w:rsidR="00A25F18" w:rsidRDefault="00A25F18" w:rsidP="00A25F18">
      <w:r>
        <w:t xml:space="preserve">Příklad náhrady stávajících okruhů v metalickém kabelu (TZ). Stávající okruhy se navrhují převést do technologie IP . </w:t>
      </w:r>
    </w:p>
    <w:tbl>
      <w:tblPr>
        <w:tblStyle w:val="Svtlstnovnzvraznn1"/>
        <w:tblW w:w="9072" w:type="dxa"/>
        <w:tblLook w:val="04A0" w:firstRow="1" w:lastRow="0" w:firstColumn="1" w:lastColumn="0" w:noHBand="0" w:noVBand="1"/>
      </w:tblPr>
      <w:tblGrid>
        <w:gridCol w:w="1680"/>
        <w:gridCol w:w="3281"/>
        <w:gridCol w:w="4111"/>
      </w:tblGrid>
      <w:tr w:rsidR="00A25F18" w:rsidRPr="00010367" w:rsidTr="003A5E4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Default="00A25F18" w:rsidP="003A5E4B">
            <w:r>
              <w:t>Označení  T81</w:t>
            </w:r>
          </w:p>
        </w:tc>
        <w:tc>
          <w:tcPr>
            <w:tcW w:w="3281" w:type="dxa"/>
          </w:tcPr>
          <w:p w:rsidR="00A25F18" w:rsidRDefault="00A25F18" w:rsidP="003A5E4B">
            <w:pPr>
              <w:cnfStyle w:val="100000000000" w:firstRow="1" w:lastRow="0" w:firstColumn="0" w:lastColumn="0" w:oddVBand="0" w:evenVBand="0" w:oddHBand="0" w:evenHBand="0" w:firstRowFirstColumn="0" w:firstRowLastColumn="0" w:lastRowFirstColumn="0" w:lastRowLastColumn="0"/>
            </w:pPr>
            <w:r>
              <w:t>Typ okruhu</w:t>
            </w:r>
          </w:p>
        </w:tc>
        <w:tc>
          <w:tcPr>
            <w:tcW w:w="4111" w:type="dxa"/>
            <w:noWrap/>
          </w:tcPr>
          <w:p w:rsidR="00A25F18" w:rsidRPr="00010367" w:rsidRDefault="00A25F18" w:rsidP="003A5E4B">
            <w:pPr>
              <w:cnfStyle w:val="100000000000" w:firstRow="1" w:lastRow="0" w:firstColumn="0" w:lastColumn="0" w:oddVBand="0" w:evenVBand="0" w:oddHBand="0" w:evenHBand="0" w:firstRowFirstColumn="0" w:firstRowLastColumn="0" w:lastRowFirstColumn="0" w:lastRowLastColumn="0"/>
            </w:pPr>
            <w:r>
              <w:t>Náhrada okruhu</w:t>
            </w:r>
          </w:p>
        </w:tc>
      </w:tr>
      <w:tr w:rsidR="00A25F18" w:rsidRPr="00010367" w:rsidTr="003A5E4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2xVT</w:t>
            </w:r>
          </w:p>
        </w:tc>
        <w:tc>
          <w:tcPr>
            <w:tcW w:w="3281" w:type="dxa"/>
          </w:tcPr>
          <w:p w:rsidR="00A25F18" w:rsidRDefault="00A25F18" w:rsidP="003A5E4B">
            <w:pPr>
              <w:cnfStyle w:val="000000100000" w:firstRow="0" w:lastRow="0" w:firstColumn="0" w:lastColumn="0" w:oddVBand="0" w:evenVBand="0" w:oddHBand="1" w:evenHBand="0" w:firstRowFirstColumn="0" w:firstRowLastColumn="0" w:lastRowFirstColumn="0" w:lastRowLastColumn="0"/>
            </w:pPr>
            <w:r>
              <w:t>Traťový okruh</w:t>
            </w:r>
          </w:p>
        </w:tc>
        <w:tc>
          <w:tcPr>
            <w:tcW w:w="4111" w:type="dxa"/>
            <w:noWrap/>
          </w:tcPr>
          <w:p w:rsidR="00A25F18" w:rsidRPr="00010367" w:rsidRDefault="00A25F18" w:rsidP="003A5E4B">
            <w:pPr>
              <w:cnfStyle w:val="000000100000" w:firstRow="0" w:lastRow="0" w:firstColumn="0" w:lastColumn="0" w:oddVBand="0" w:evenVBand="0" w:oddHBand="1" w:evenHBand="0" w:firstRowFirstColumn="0" w:firstRowLastColumn="0" w:lastRowFirstColumn="0" w:lastRowLastColumn="0"/>
            </w:pPr>
            <w:r>
              <w:t>Vybudování datové sítě ethernet v každém RD a zastávce pomocí datových switchů</w:t>
            </w:r>
          </w:p>
        </w:tc>
      </w:tr>
      <w:tr w:rsidR="00A25F18" w:rsidRPr="00010367" w:rsidTr="003A5E4B">
        <w:trPr>
          <w:trHeight w:val="336"/>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2xNV</w:t>
            </w:r>
          </w:p>
        </w:tc>
        <w:tc>
          <w:tcPr>
            <w:tcW w:w="3281" w:type="dxa"/>
          </w:tcPr>
          <w:p w:rsidR="00A25F18" w:rsidRDefault="00A25F18" w:rsidP="003A5E4B">
            <w:pPr>
              <w:cnfStyle w:val="000000000000" w:firstRow="0" w:lastRow="0" w:firstColumn="0" w:lastColumn="0" w:oddVBand="0" w:evenVBand="0" w:oddHBand="0" w:evenHBand="0" w:firstRowFirstColumn="0" w:firstRowLastColumn="0" w:lastRowFirstColumn="0" w:lastRowLastColumn="0"/>
            </w:pPr>
            <w:r>
              <w:t>Vazba napáječů</w:t>
            </w:r>
          </w:p>
        </w:tc>
        <w:tc>
          <w:tcPr>
            <w:tcW w:w="4111" w:type="dxa"/>
            <w:noWrap/>
          </w:tcPr>
          <w:p w:rsidR="00A25F18" w:rsidRPr="00010367" w:rsidRDefault="00A25F18" w:rsidP="003A5E4B">
            <w:pPr>
              <w:cnfStyle w:val="000000000000" w:firstRow="0" w:lastRow="0" w:firstColumn="0" w:lastColumn="0" w:oddVBand="0" w:evenVBand="0" w:oddHBand="0" w:evenHBand="0" w:firstRowFirstColumn="0" w:firstRowLastColumn="0" w:lastRowFirstColumn="0" w:lastRowLastColumn="0"/>
            </w:pPr>
            <w:r>
              <w:t>U trakce 25kV/50Hz není třeba-zrušit</w:t>
            </w:r>
          </w:p>
        </w:tc>
      </w:tr>
      <w:tr w:rsidR="00A25F18" w:rsidRPr="00010367" w:rsidTr="003A5E4B">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2xNS</w:t>
            </w:r>
          </w:p>
        </w:tc>
        <w:tc>
          <w:tcPr>
            <w:tcW w:w="3281" w:type="dxa"/>
          </w:tcPr>
          <w:p w:rsidR="00A25F18" w:rsidRDefault="00A25F18" w:rsidP="003A5E4B">
            <w:pPr>
              <w:cnfStyle w:val="000000100000" w:firstRow="0" w:lastRow="0" w:firstColumn="0" w:lastColumn="0" w:oddVBand="0" w:evenVBand="0" w:oddHBand="1" w:evenHBand="0" w:firstRowFirstColumn="0" w:firstRowLastColumn="0" w:lastRowFirstColumn="0" w:lastRowLastColumn="0"/>
            </w:pPr>
            <w:r>
              <w:t>Dálkové ovládání osvětlení</w:t>
            </w:r>
          </w:p>
        </w:tc>
        <w:tc>
          <w:tcPr>
            <w:tcW w:w="4111" w:type="dxa"/>
            <w:noWrap/>
          </w:tcPr>
          <w:p w:rsidR="00A25F18" w:rsidRPr="00010367" w:rsidRDefault="00A25F18" w:rsidP="003A5E4B">
            <w:pPr>
              <w:cnfStyle w:val="000000100000" w:firstRow="0" w:lastRow="0" w:firstColumn="0" w:lastColumn="0" w:oddVBand="0" w:evenVBand="0" w:oddHBand="1" w:evenHBand="0" w:firstRowFirstColumn="0" w:firstRowLastColumn="0" w:lastRowFirstColumn="0" w:lastRowLastColumn="0"/>
            </w:pPr>
            <w:r>
              <w:t>Využít datového připojení zastávek</w:t>
            </w:r>
          </w:p>
        </w:tc>
      </w:tr>
      <w:tr w:rsidR="00A25F18" w:rsidRPr="00010367" w:rsidTr="003A5E4B">
        <w:trPr>
          <w:trHeight w:val="294"/>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2xRU</w:t>
            </w:r>
          </w:p>
        </w:tc>
        <w:tc>
          <w:tcPr>
            <w:tcW w:w="3281" w:type="dxa"/>
          </w:tcPr>
          <w:p w:rsidR="00A25F18" w:rsidRDefault="00A25F18" w:rsidP="003A5E4B">
            <w:pPr>
              <w:cnfStyle w:val="000000000000" w:firstRow="0" w:lastRow="0" w:firstColumn="0" w:lastColumn="0" w:oddVBand="0" w:evenVBand="0" w:oddHBand="0" w:evenHBand="0" w:firstRowFirstColumn="0" w:firstRowLastColumn="0" w:lastRowFirstColumn="0" w:lastRowLastColumn="0"/>
            </w:pPr>
            <w:r>
              <w:t>Dálkové ovládání rozhlasu</w:t>
            </w:r>
          </w:p>
        </w:tc>
        <w:tc>
          <w:tcPr>
            <w:tcW w:w="4111" w:type="dxa"/>
            <w:noWrap/>
          </w:tcPr>
          <w:p w:rsidR="00A25F18" w:rsidRPr="00010367" w:rsidRDefault="00A25F18" w:rsidP="003A5E4B">
            <w:pPr>
              <w:cnfStyle w:val="000000000000" w:firstRow="0" w:lastRow="0" w:firstColumn="0" w:lastColumn="0" w:oddVBand="0" w:evenVBand="0" w:oddHBand="0" w:evenHBand="0" w:firstRowFirstColumn="0" w:firstRowLastColumn="0" w:lastRowFirstColumn="0" w:lastRowLastColumn="0"/>
            </w:pPr>
            <w:r>
              <w:t xml:space="preserve">Rozhlas převést na IP </w:t>
            </w:r>
          </w:p>
        </w:tc>
      </w:tr>
      <w:tr w:rsidR="00A25F18" w:rsidRPr="00010367" w:rsidTr="003A5E4B">
        <w:trPr>
          <w:cnfStyle w:val="000000100000" w:firstRow="0" w:lastRow="0" w:firstColumn="0" w:lastColumn="0" w:oddVBand="0" w:evenVBand="0" w:oddHBand="1" w:evenHBand="0" w:firstRowFirstColumn="0" w:firstRowLastColumn="0" w:lastRowFirstColumn="0" w:lastRowLastColumn="0"/>
          <w:trHeight w:val="344"/>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2xTRS</w:t>
            </w:r>
          </w:p>
        </w:tc>
        <w:tc>
          <w:tcPr>
            <w:tcW w:w="3281" w:type="dxa"/>
          </w:tcPr>
          <w:p w:rsidR="00A25F18" w:rsidRDefault="00A25F18" w:rsidP="003A5E4B">
            <w:pPr>
              <w:cnfStyle w:val="000000100000" w:firstRow="0" w:lastRow="0" w:firstColumn="0" w:lastColumn="0" w:oddVBand="0" w:evenVBand="0" w:oddHBand="1" w:evenHBand="0" w:firstRowFirstColumn="0" w:firstRowLastColumn="0" w:lastRowFirstColumn="0" w:lastRowLastColumn="0"/>
            </w:pPr>
            <w:r>
              <w:t xml:space="preserve">Traťový radiový systém </w:t>
            </w:r>
          </w:p>
        </w:tc>
        <w:tc>
          <w:tcPr>
            <w:tcW w:w="4111" w:type="dxa"/>
            <w:noWrap/>
          </w:tcPr>
          <w:p w:rsidR="00A25F18" w:rsidRPr="00010367" w:rsidRDefault="00A25F18" w:rsidP="003A5E4B">
            <w:pPr>
              <w:cnfStyle w:val="000000100000" w:firstRow="0" w:lastRow="0" w:firstColumn="0" w:lastColumn="0" w:oddVBand="0" w:evenVBand="0" w:oddHBand="1" w:evenHBand="0" w:firstRowFirstColumn="0" w:firstRowLastColumn="0" w:lastRowFirstColumn="0" w:lastRowLastColumn="0"/>
            </w:pPr>
            <w:r>
              <w:t>Převést na IP TRS nebo přístupovou PCM 1.ř</w:t>
            </w:r>
          </w:p>
        </w:tc>
      </w:tr>
      <w:tr w:rsidR="00A25F18" w:rsidRPr="00010367" w:rsidTr="003A5E4B">
        <w:trPr>
          <w:trHeight w:val="252"/>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PGS</w:t>
            </w:r>
          </w:p>
        </w:tc>
        <w:tc>
          <w:tcPr>
            <w:tcW w:w="3281" w:type="dxa"/>
          </w:tcPr>
          <w:p w:rsidR="00A25F18" w:rsidRDefault="00A25F18" w:rsidP="003A5E4B">
            <w:pPr>
              <w:cnfStyle w:val="000000000000" w:firstRow="0" w:lastRow="0" w:firstColumn="0" w:lastColumn="0" w:oddVBand="0" w:evenVBand="0" w:oddHBand="0" w:evenHBand="0" w:firstRowFirstColumn="0" w:firstRowLastColumn="0" w:lastRowFirstColumn="0" w:lastRowLastColumn="0"/>
            </w:pPr>
            <w:r>
              <w:t>Účastnická PCM</w:t>
            </w:r>
          </w:p>
        </w:tc>
        <w:tc>
          <w:tcPr>
            <w:tcW w:w="4111" w:type="dxa"/>
            <w:noWrap/>
          </w:tcPr>
          <w:p w:rsidR="00A25F18" w:rsidRPr="00010367" w:rsidRDefault="00A25F18" w:rsidP="003A5E4B">
            <w:pPr>
              <w:cnfStyle w:val="000000000000" w:firstRow="0" w:lastRow="0" w:firstColumn="0" w:lastColumn="0" w:oddVBand="0" w:evenVBand="0" w:oddHBand="0" w:evenHBand="0" w:firstRowFirstColumn="0" w:firstRowLastColumn="0" w:lastRowFirstColumn="0" w:lastRowLastColumn="0"/>
            </w:pPr>
            <w:r>
              <w:t>IP tel. přípojky a případně pomocí terminálů IP/analog- po upgrade MD110/MX-ONE server</w:t>
            </w:r>
          </w:p>
        </w:tc>
      </w:tr>
      <w:tr w:rsidR="00A25F18" w:rsidRPr="00010367" w:rsidTr="003A5E4B">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Default="00A25F18" w:rsidP="003A5E4B">
            <w:r>
              <w:t>NR</w:t>
            </w:r>
          </w:p>
        </w:tc>
        <w:tc>
          <w:tcPr>
            <w:tcW w:w="3281" w:type="dxa"/>
          </w:tcPr>
          <w:p w:rsidR="00A25F18" w:rsidRDefault="00A25F18" w:rsidP="003A5E4B">
            <w:pPr>
              <w:cnfStyle w:val="000000100000" w:firstRow="0" w:lastRow="0" w:firstColumn="0" w:lastColumn="0" w:oddVBand="0" w:evenVBand="0" w:oddHBand="1" w:evenHBand="0" w:firstRowFirstColumn="0" w:firstRowLastColumn="0" w:lastRowFirstColumn="0" w:lastRowLastColumn="0"/>
            </w:pPr>
            <w:r>
              <w:t>Dálkové ovládání NS a rozvoden</w:t>
            </w:r>
          </w:p>
        </w:tc>
        <w:tc>
          <w:tcPr>
            <w:tcW w:w="4111" w:type="dxa"/>
            <w:noWrap/>
          </w:tcPr>
          <w:p w:rsidR="00A25F18" w:rsidRPr="00010367" w:rsidRDefault="00A25F18" w:rsidP="003A5E4B">
            <w:pPr>
              <w:cnfStyle w:val="000000100000" w:firstRow="0" w:lastRow="0" w:firstColumn="0" w:lastColumn="0" w:oddVBand="0" w:evenVBand="0" w:oddHBand="1" w:evenHBand="0" w:firstRowFirstColumn="0" w:firstRowLastColumn="0" w:lastRowFirstColumn="0" w:lastRowLastColumn="0"/>
            </w:pPr>
            <w:r>
              <w:t>Výměna stávajících analog sys. Za IP</w:t>
            </w:r>
          </w:p>
        </w:tc>
      </w:tr>
      <w:tr w:rsidR="00A25F18" w:rsidRPr="00010367" w:rsidTr="003A5E4B">
        <w:trPr>
          <w:trHeight w:val="302"/>
        </w:trPr>
        <w:tc>
          <w:tcPr>
            <w:cnfStyle w:val="001000000000" w:firstRow="0" w:lastRow="0" w:firstColumn="1" w:lastColumn="0" w:oddVBand="0" w:evenVBand="0" w:oddHBand="0" w:evenHBand="0" w:firstRowFirstColumn="0" w:firstRowLastColumn="0" w:lastRowFirstColumn="0" w:lastRowLastColumn="0"/>
            <w:tcW w:w="1680" w:type="dxa"/>
            <w:noWrap/>
          </w:tcPr>
          <w:p w:rsidR="00A25F18" w:rsidRPr="00010367" w:rsidRDefault="00A25F18" w:rsidP="003A5E4B">
            <w:r>
              <w:t>2xCM</w:t>
            </w:r>
          </w:p>
        </w:tc>
        <w:tc>
          <w:tcPr>
            <w:tcW w:w="3281" w:type="dxa"/>
          </w:tcPr>
          <w:p w:rsidR="00A25F18" w:rsidRPr="00010367" w:rsidRDefault="00A25F18" w:rsidP="003A5E4B">
            <w:pPr>
              <w:cnfStyle w:val="000000000000" w:firstRow="0" w:lastRow="0" w:firstColumn="0" w:lastColumn="0" w:oddVBand="0" w:evenVBand="0" w:oddHBand="0" w:evenHBand="0" w:firstRowFirstColumn="0" w:firstRowLastColumn="0" w:lastRowFirstColumn="0" w:lastRowLastColumn="0"/>
            </w:pPr>
            <w:r>
              <w:t>Měřící okruhy</w:t>
            </w:r>
          </w:p>
        </w:tc>
        <w:tc>
          <w:tcPr>
            <w:tcW w:w="4111" w:type="dxa"/>
            <w:noWrap/>
          </w:tcPr>
          <w:p w:rsidR="00A25F18" w:rsidRPr="00010367" w:rsidRDefault="00A25F18" w:rsidP="003A5E4B">
            <w:pPr>
              <w:cnfStyle w:val="000000000000" w:firstRow="0" w:lastRow="0" w:firstColumn="0" w:lastColumn="0" w:oddVBand="0" w:evenVBand="0" w:oddHBand="0" w:evenHBand="0" w:firstRowFirstColumn="0" w:firstRowLastColumn="0" w:lastRowFirstColumn="0" w:lastRowLastColumn="0"/>
            </w:pPr>
            <w:r>
              <w:t>zrušit</w:t>
            </w:r>
          </w:p>
        </w:tc>
      </w:tr>
    </w:tbl>
    <w:p w:rsidR="00A25F18" w:rsidRDefault="00A25F18" w:rsidP="00A25F18"/>
    <w:p w:rsidR="00A25F18" w:rsidRDefault="00A25F18" w:rsidP="00A25F18">
      <w:pPr>
        <w:spacing w:line="312" w:lineRule="auto"/>
      </w:pPr>
      <w:r>
        <w:t>Navrhuje se na nově vybudovaných  a nebo stávajících optických trasách podél nově elektrifikovaných tratí  s trakční soustavou 25kV/50Hz vybudovat nový přenosový systém s paketovým  synchronním přenosem. Navrhuje se nový  přenosový systém navázat na systém vybudovaný v rámci stavby KAC a doplnit jej do všech železničních stanic. Nový přenosový systém musí být kompatibilní se systémem vybudovaným  v rámci zmíněné stavby KAC. Na výkresu „P</w:t>
      </w:r>
      <w:r w:rsidRPr="00CD05C4">
        <w:t xml:space="preserve">řehledové schéma sítě  </w:t>
      </w:r>
      <w:r>
        <w:t>MPLS“ jsou uvedeny tratě, na kterých bude přenosový  systém doplněn nebo vybudován nový. Na  výkresu  „P</w:t>
      </w:r>
      <w:r w:rsidRPr="00CD05C4">
        <w:t>ře</w:t>
      </w:r>
      <w:r>
        <w:t>hledové schéma MPLS p</w:t>
      </w:r>
      <w:r w:rsidRPr="00CD05C4">
        <w:t>řenosového systému</w:t>
      </w:r>
      <w:r>
        <w:t xml:space="preserve">“  jsou uvedeny hlavní body kde boxy MPLS budou doplněny. Mezi těmito body budou umístěny další v jednotlivých stanicích (nižší kategorie-nejsou zobrazeny). V jednotlivých zastávkách a reléových domcích mezi staničních úsecích  se navrhuje přenos pomocí datových přepínačů (L3 z důvodů zálohování přes MPLS trakt) zapojené na samostatných vláknech do kaskády a navázaných na přístupové L3 přepínače (switche) umístěné u každého pre-agregačního  boxu MPLS. Taková síť bude pracovat s přenosovou rychlostí 1GE, která se jeví jako dostatečně kapacitní na řadu let. </w:t>
      </w:r>
    </w:p>
    <w:p w:rsidR="00A25F18" w:rsidRPr="00CD05C4" w:rsidRDefault="00A25F18" w:rsidP="00A25F18">
      <w:r w:rsidRPr="00CD05C4">
        <w:t>Upozorňujeme, že současně s výstavbou nových MPLS boxů a datových přepínačů je nutné vypracovat synchronizační plán celé sítě a případně jej doplnit o příslušné časové základny.</w:t>
      </w:r>
    </w:p>
    <w:p w:rsidR="00A25F18" w:rsidRPr="00D971C6" w:rsidRDefault="00A25F18" w:rsidP="00A25F18"/>
    <w:p w:rsidR="00A25F18" w:rsidRDefault="00A25F18" w:rsidP="00A25F18">
      <w:pPr>
        <w:pStyle w:val="Nadpis3"/>
      </w:pPr>
      <w:bookmarkStart w:id="14" w:name="_Toc456957680"/>
      <w:r>
        <w:t xml:space="preserve">6.2.9 </w:t>
      </w:r>
      <w:r w:rsidRPr="00A25F18">
        <w:t>Telefonní zapojovače</w:t>
      </w:r>
      <w:bookmarkEnd w:id="14"/>
    </w:p>
    <w:p w:rsidR="00A25F18" w:rsidRPr="00A25F18" w:rsidRDefault="00A25F18" w:rsidP="00A25F18"/>
    <w:p w:rsidR="00A25F18" w:rsidRDefault="00A25F18" w:rsidP="00A25F18">
      <w:pPr>
        <w:spacing w:line="312" w:lineRule="auto"/>
      </w:pPr>
      <w:r w:rsidRPr="00596420">
        <w:t xml:space="preserve">Pro </w:t>
      </w:r>
      <w:r>
        <w:t xml:space="preserve"> náhradu traťových okruhů IP technologií je nutná výměna telefonních zapojovačů (TZ). V současné době tratě připojené pod dálkové ovládání „DOZ“ jsou vybavovány novými telefonními </w:t>
      </w:r>
      <w:r>
        <w:lastRenderedPageBreak/>
        <w:t>zapojovači, které musí umožňovat dálkové ovládání z CDP. Jedná se o  TZ systému IP, které umožní připojení traťových okruhů IP. Výměna TZ na nově elektrizovaných tratí trakční soustavou 25kV/50Hz je v převážně provedena jak již bylo zmíněno v rámci staveb DOZ. V této stavbě se navrhuje výměna TZ na tratích, kde neproběhly nebo v budoucnosti neproběhnou stavby DOZ.</w:t>
      </w:r>
    </w:p>
    <w:p w:rsidR="00A25F18" w:rsidRPr="00596420" w:rsidRDefault="00A25F18" w:rsidP="00A25F18">
      <w:pPr>
        <w:spacing w:line="312" w:lineRule="auto"/>
      </w:pPr>
      <w:r>
        <w:t>Je nutné zmínit úpravu stávajících předpisů především předpisu T1, které jsou podmínkou pro náhradu VT okruhů technologií IP. Největším problémem je zavedení důležitých okruhů do náhradních telefonních zapojovačů (NTZ), což IP neumožňuje. V současných podmínkách při existenci radiových sítí GSM jak v veřejných (GSM-P) tak SŽDC (GSM-R) je možné tyto podmínky v předpisech změnit.</w:t>
      </w:r>
    </w:p>
    <w:p w:rsidR="00A25F18" w:rsidRDefault="00A25F18" w:rsidP="00A25F18">
      <w:pPr>
        <w:pStyle w:val="Nadpis2"/>
      </w:pPr>
    </w:p>
    <w:p w:rsidR="00A25F18" w:rsidRDefault="00A25F18" w:rsidP="00A25F18">
      <w:pPr>
        <w:pStyle w:val="Nadpis3"/>
      </w:pPr>
      <w:bookmarkStart w:id="15" w:name="_Toc456957681"/>
      <w:r>
        <w:t xml:space="preserve">6.2.10 </w:t>
      </w:r>
      <w:r w:rsidRPr="00A25F18">
        <w:t>Traťové radiové systémy</w:t>
      </w:r>
      <w:bookmarkEnd w:id="15"/>
    </w:p>
    <w:p w:rsidR="00A25F18" w:rsidRPr="00A25F18" w:rsidRDefault="00A25F18" w:rsidP="00A25F18"/>
    <w:p w:rsidR="00A25F18" w:rsidRPr="006C4C74" w:rsidRDefault="00A25F18" w:rsidP="00A25F18">
      <w:pPr>
        <w:spacing w:line="312" w:lineRule="auto"/>
      </w:pPr>
      <w:r w:rsidRPr="006C4C74">
        <w:t xml:space="preserve">V současné době jsou hlavní elektrifikované tratě pokryté sítí systému jak GSM-R, tak i TRS (duální provoz). Ostatní elektrifikované tratě jsou pokryté pouze signálem sítě TRS. </w:t>
      </w:r>
    </w:p>
    <w:p w:rsidR="00A25F18" w:rsidRDefault="00A25F18" w:rsidP="00A25F18">
      <w:pPr>
        <w:spacing w:line="312" w:lineRule="auto"/>
      </w:pPr>
      <w:r w:rsidRPr="006C4C74">
        <w:t>Předpokládá se, že v době přechodu na střídavou trakci bude duální provoz r</w:t>
      </w:r>
      <w:r>
        <w:t>á</w:t>
      </w:r>
      <w:r w:rsidRPr="006C4C74">
        <w:t>dio sítí ukončený a TRS bude na těchto tratích zrušená.</w:t>
      </w:r>
      <w:r>
        <w:t xml:space="preserve"> Jak již bylo v analytické části řečeno, od roku 1.1.2017 bude na tratích s GSM-R systémem radiový systém TRS postupně vypínán z provozu. Toto je spojeno s realizací  funkce stop na GSM-R.</w:t>
      </w:r>
    </w:p>
    <w:p w:rsidR="00A25F18" w:rsidRPr="006C4C74" w:rsidRDefault="00A25F18" w:rsidP="00A25F18">
      <w:pPr>
        <w:spacing w:line="312" w:lineRule="auto"/>
      </w:pPr>
      <w:r>
        <w:t xml:space="preserve">Pro další budování  radiového systému TRS jsou k dispozici obdobné radiové systémy k systému TRS, které využívají  pro propojení  modulů  IP síť a pro propojení komponentů nepotřebují metalické okruhy. </w:t>
      </w:r>
      <w:r w:rsidRPr="006C4C74">
        <w:t>Na ostatních tratích případně na přípojných tratích bude systém TRS nadále provozovaný, i když i zde se předpokládá budoucí přechod na GSM-R. Na tratích, kde zůstane v provozu TRS i po přechodu trakce, bude nutná zajistit propojení základnových radiostanic TRS, které v současné době probíhá po metalických kabelech. V případě zachování metalických kabelů</w:t>
      </w:r>
      <w:r w:rsidRPr="00185067">
        <w:t xml:space="preserve"> není </w:t>
      </w:r>
      <w:r w:rsidRPr="006C4C74">
        <w:t xml:space="preserve">nutné dělat žádná speciální opatření. V případě přechodu na optické kabely jsou nutná opatření. Řešením je </w:t>
      </w:r>
      <w:r>
        <w:t>výměna stávajícího analogového systému za systém s ethernet rozhraním a nebo zachovat stávající analogový systém a</w:t>
      </w:r>
      <w:r w:rsidRPr="006C4C74">
        <w:t xml:space="preserve"> základnové radiostanice</w:t>
      </w:r>
      <w:r>
        <w:t xml:space="preserve"> propojit pomocí přenosového systému, který nám poskytne nf rozhraní a na síťové straně tok E1, které lze přenést MPLS systémy.</w:t>
      </w:r>
    </w:p>
    <w:p w:rsidR="00A25F18" w:rsidRPr="00D971C6" w:rsidRDefault="00A25F18" w:rsidP="00A25F18"/>
    <w:p w:rsidR="00A25F18" w:rsidRDefault="00A25F18" w:rsidP="00A25F18">
      <w:pPr>
        <w:pStyle w:val="Nadpis3"/>
      </w:pPr>
      <w:bookmarkStart w:id="16" w:name="_Toc456957682"/>
      <w:r>
        <w:t xml:space="preserve">6.2.11 </w:t>
      </w:r>
      <w:r w:rsidRPr="00A25F18">
        <w:t>Dispečerská řídící technika</w:t>
      </w:r>
      <w:bookmarkEnd w:id="16"/>
    </w:p>
    <w:p w:rsidR="00A25F18" w:rsidRPr="00A25F18" w:rsidRDefault="00A25F18" w:rsidP="00A25F18"/>
    <w:p w:rsidR="00A25F18" w:rsidRPr="006C4C74" w:rsidRDefault="00A25F18" w:rsidP="00A25F18">
      <w:pPr>
        <w:spacing w:line="312" w:lineRule="auto"/>
      </w:pPr>
      <w:r w:rsidRPr="006C4C74">
        <w:t xml:space="preserve">Zařízení řídící dispečerské techniky (DŘT), je v současné době z velké části přenášena pomocí modemů na metalických okruzích TK nebo DK. Pouze u posledních </w:t>
      </w:r>
      <w:r>
        <w:t xml:space="preserve">nasazovaných </w:t>
      </w:r>
      <w:r w:rsidRPr="006C4C74">
        <w:t>zařízení se využívá přenos v IP síti</w:t>
      </w:r>
      <w:r>
        <w:t xml:space="preserve"> (ethernet)</w:t>
      </w:r>
      <w:r w:rsidRPr="006C4C74">
        <w:t xml:space="preserve">. V případě přechodu na optické kabely bude nutná náhrada stávajícího </w:t>
      </w:r>
      <w:r w:rsidRPr="006C4C74">
        <w:lastRenderedPageBreak/>
        <w:t>systému na systém, který lze provozovat po nových přenosových systémech</w:t>
      </w:r>
      <w:r>
        <w:t xml:space="preserve"> tedy systémy s paketovým přenosem pro ethernet sítích</w:t>
      </w:r>
      <w:r w:rsidRPr="006C4C74">
        <w:t>.</w:t>
      </w:r>
      <w:r>
        <w:t xml:space="preserve"> V přiložených tabulkách je přehled jednotlivých železničních stanic a energetických objektů kde je nutná výměna zařízení pro dispečerskou řídící techniku (DŘT).</w:t>
      </w:r>
    </w:p>
    <w:p w:rsidR="00A25F18" w:rsidRDefault="00A25F18" w:rsidP="00A25F18"/>
    <w:p w:rsidR="00A25F18" w:rsidRDefault="00A25F18" w:rsidP="00A25F18">
      <w:pPr>
        <w:pStyle w:val="Nadpis3"/>
      </w:pPr>
      <w:bookmarkStart w:id="17" w:name="_Toc456957683"/>
      <w:r>
        <w:t xml:space="preserve">6.2.12 </w:t>
      </w:r>
      <w:r w:rsidRPr="00A25F18">
        <w:t>Návrh opatření pro případné rušení veřejných sdělovacích sítí</w:t>
      </w:r>
      <w:bookmarkEnd w:id="17"/>
    </w:p>
    <w:p w:rsidR="00A25F18" w:rsidRPr="00A25F18" w:rsidRDefault="00A25F18" w:rsidP="00A25F18"/>
    <w:p w:rsidR="00A25F18" w:rsidRPr="00185067" w:rsidRDefault="00A25F18" w:rsidP="00A25F18">
      <w:pPr>
        <w:spacing w:line="312" w:lineRule="auto"/>
      </w:pPr>
      <w:r w:rsidRPr="00185067">
        <w:t>Na základě zkušeností lze předpokládat, že stávající veřejné souběhy s kabelovými sítěmi veřejných operátorů budou ve větší vzdálenosti od tratě jak 20m a délka souběhu sítí nepřekročí 1km. Dále se dá předpokládat, že kabelové sítě budou vedeny s ostatními metalickými sítěmi, zvláště ve větších městech, které budou zvyšovat redukční faktor pro indukci. Existenci veřejné sítě je nutné u každé stavby posuzovat individuálně.</w:t>
      </w:r>
    </w:p>
    <w:p w:rsidR="00A25F18" w:rsidRPr="00185067" w:rsidRDefault="00A25F18" w:rsidP="00A25F18">
      <w:pPr>
        <w:spacing w:line="312" w:lineRule="auto"/>
      </w:pPr>
      <w:r w:rsidRPr="00185067">
        <w:t xml:space="preserve">Značnou roli zde může sehrát i vývoj v technologii spojené s veřejnou telekomunikační sítí, kdy v době přechodu na trakci 25kV se může standardně používat nová telekomunikační technologie, která je již provozována na optických vláknech, nebo alespoň nevyužívá telefonních přístrojů s přímým napájením z ATÚ. </w:t>
      </w:r>
    </w:p>
    <w:p w:rsidR="00A25F18" w:rsidRPr="00185067" w:rsidRDefault="00A25F18" w:rsidP="00A25F18">
      <w:pPr>
        <w:spacing w:line="312" w:lineRule="auto"/>
      </w:pPr>
      <w:r w:rsidRPr="00185067">
        <w:t>Úpravy kabelové sítě je nutné navrhnout na základě individuálních výpočtů pro každý případ zvlášť ve spolupráci se správcem dané sítě. Úpravy mohou být následujícího typu:</w:t>
      </w:r>
    </w:p>
    <w:p w:rsidR="00A25F18" w:rsidRPr="00185067" w:rsidRDefault="00A25F18" w:rsidP="00A25F18">
      <w:pPr>
        <w:pStyle w:val="Odstavecseseznamem"/>
        <w:numPr>
          <w:ilvl w:val="0"/>
          <w:numId w:val="26"/>
        </w:numPr>
        <w:autoSpaceDE w:val="0"/>
        <w:autoSpaceDN w:val="0"/>
        <w:adjustRightInd w:val="0"/>
        <w:spacing w:before="120" w:after="0" w:line="312" w:lineRule="auto"/>
      </w:pPr>
      <w:r w:rsidRPr="00185067">
        <w:t>výměna kabelů nebo kabelových úseků za kabely s účinnějším redukčním činitelem</w:t>
      </w:r>
    </w:p>
    <w:p w:rsidR="00A25F18" w:rsidRPr="00185067" w:rsidRDefault="00A25F18" w:rsidP="00A25F18">
      <w:pPr>
        <w:pStyle w:val="Odstavecseseznamem"/>
        <w:numPr>
          <w:ilvl w:val="0"/>
          <w:numId w:val="26"/>
        </w:numPr>
        <w:autoSpaceDE w:val="0"/>
        <w:autoSpaceDN w:val="0"/>
        <w:adjustRightInd w:val="0"/>
        <w:spacing w:before="120" w:after="0" w:line="312" w:lineRule="auto"/>
      </w:pPr>
      <w:r w:rsidRPr="00185067">
        <w:t>uložení nadložného lana pro zlepšení redukčních účinků</w:t>
      </w:r>
    </w:p>
    <w:p w:rsidR="00A25F18" w:rsidRPr="00185067" w:rsidRDefault="00A25F18" w:rsidP="00A25F18">
      <w:pPr>
        <w:pStyle w:val="Odstavecseseznamem"/>
        <w:numPr>
          <w:ilvl w:val="0"/>
          <w:numId w:val="26"/>
        </w:numPr>
        <w:autoSpaceDE w:val="0"/>
        <w:autoSpaceDN w:val="0"/>
        <w:adjustRightInd w:val="0"/>
        <w:spacing w:before="120" w:after="0" w:line="312" w:lineRule="auto"/>
      </w:pPr>
      <w:r w:rsidRPr="00185067">
        <w:t>úprava ukončení metalických kabelů</w:t>
      </w:r>
    </w:p>
    <w:p w:rsidR="00A25F18" w:rsidRPr="00185067" w:rsidRDefault="00A25F18" w:rsidP="00A25F18">
      <w:pPr>
        <w:pStyle w:val="Odstavecseseznamem"/>
        <w:numPr>
          <w:ilvl w:val="0"/>
          <w:numId w:val="26"/>
        </w:numPr>
        <w:autoSpaceDE w:val="0"/>
        <w:autoSpaceDN w:val="0"/>
        <w:adjustRightInd w:val="0"/>
        <w:spacing w:before="120" w:after="0" w:line="312" w:lineRule="auto"/>
      </w:pPr>
      <w:r w:rsidRPr="00185067">
        <w:t>výměna metalické kabelové sítě za optickou s doprovodnou výměnou připojené technpologie</w:t>
      </w:r>
    </w:p>
    <w:p w:rsidR="00A25F18" w:rsidRDefault="00A25F18" w:rsidP="00A25F18">
      <w:pPr>
        <w:spacing w:line="312" w:lineRule="auto"/>
      </w:pPr>
      <w:r w:rsidRPr="00185067">
        <w:t>Ve všech případech je nutný koordinovaný postup se správcem kabelové sítě.</w:t>
      </w:r>
    </w:p>
    <w:p w:rsidR="00C7659E" w:rsidRPr="00185067" w:rsidRDefault="00C7659E" w:rsidP="00A25F18">
      <w:pPr>
        <w:spacing w:line="312" w:lineRule="auto"/>
      </w:pPr>
    </w:p>
    <w:p w:rsidR="00C7659E" w:rsidRDefault="00C7659E" w:rsidP="00A25F18"/>
    <w:p w:rsidR="00C7659E" w:rsidRDefault="00C7659E" w:rsidP="00A25F18"/>
    <w:p w:rsidR="00A25F18" w:rsidRDefault="00C7659E" w:rsidP="00A25F18">
      <w:r w:rsidRPr="00C7659E">
        <w:rPr>
          <w:noProof/>
        </w:rPr>
        <w:lastRenderedPageBreak/>
        <w:drawing>
          <wp:inline distT="0" distB="0" distL="0" distR="0" wp14:anchorId="5EA1C7DC" wp14:editId="7F7D35B5">
            <wp:extent cx="5731510" cy="3853109"/>
            <wp:effectExtent l="0" t="0" r="254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853109"/>
                    </a:xfrm>
                    <a:prstGeom prst="rect">
                      <a:avLst/>
                    </a:prstGeom>
                    <a:noFill/>
                    <a:ln>
                      <a:noFill/>
                    </a:ln>
                  </pic:spPr>
                </pic:pic>
              </a:graphicData>
            </a:graphic>
          </wp:inline>
        </w:drawing>
      </w:r>
    </w:p>
    <w:p w:rsidR="00C7659E" w:rsidRDefault="00C7659E" w:rsidP="00A25F18"/>
    <w:p w:rsidR="00A25F18" w:rsidRDefault="00A25F18" w:rsidP="00A25F18">
      <w:pPr>
        <w:pStyle w:val="Nadpis3"/>
      </w:pPr>
      <w:bookmarkStart w:id="18" w:name="_Toc456957684"/>
      <w:r>
        <w:t xml:space="preserve">6.2.13 </w:t>
      </w:r>
      <w:r w:rsidRPr="00A25F18">
        <w:t>Porovnání dvou  koncepcí  návrhů</w:t>
      </w:r>
      <w:r w:rsidR="00C7659E">
        <w:t xml:space="preserve"> traťových kabelů</w:t>
      </w:r>
      <w:bookmarkEnd w:id="18"/>
      <w:r w:rsidRPr="00A25F18">
        <w:t xml:space="preserve"> </w:t>
      </w:r>
    </w:p>
    <w:p w:rsidR="00A25F18" w:rsidRPr="00A25F18" w:rsidRDefault="00A25F18" w:rsidP="00A25F18"/>
    <w:p w:rsidR="00A25F18" w:rsidRPr="00596420" w:rsidRDefault="00A25F18" w:rsidP="00A25F18">
      <w:pPr>
        <w:spacing w:line="312" w:lineRule="auto"/>
      </w:pPr>
      <w:r w:rsidRPr="00596420">
        <w:t xml:space="preserve">Jde o porovnání dvou koncepcí návrhů pro náhradu stávajících metalických traťových kabelů (TK). </w:t>
      </w:r>
    </w:p>
    <w:p w:rsidR="00A25F18" w:rsidRPr="00596420" w:rsidRDefault="00A25F18" w:rsidP="00A25F18">
      <w:pPr>
        <w:pStyle w:val="Odstavecseseznamem"/>
        <w:numPr>
          <w:ilvl w:val="0"/>
          <w:numId w:val="30"/>
        </w:numPr>
        <w:autoSpaceDE w:val="0"/>
        <w:autoSpaceDN w:val="0"/>
        <w:adjustRightInd w:val="0"/>
        <w:spacing w:before="120" w:after="0" w:line="312" w:lineRule="auto"/>
      </w:pPr>
      <w:r w:rsidRPr="00596420">
        <w:t>Jedna koncepce navrhuje náhradu stávajících TK s pláštěm respektující stejnosměrnou trakční soustavu 3kV (OK ochrana - bludné proudy) za TK s pláštěm –ZE,ZY s nízkým redukčním činitelem r≤0,3 respektující indukovaná ems z trakční soustavy 25kV/50Hz.</w:t>
      </w:r>
    </w:p>
    <w:p w:rsidR="00A25F18" w:rsidRPr="00596420" w:rsidRDefault="00A25F18" w:rsidP="00A25F18">
      <w:pPr>
        <w:pStyle w:val="Odstavecseseznamem"/>
        <w:numPr>
          <w:ilvl w:val="0"/>
          <w:numId w:val="30"/>
        </w:numPr>
        <w:autoSpaceDE w:val="0"/>
        <w:autoSpaceDN w:val="0"/>
        <w:adjustRightInd w:val="0"/>
        <w:spacing w:before="120" w:after="0" w:line="312" w:lineRule="auto"/>
      </w:pPr>
      <w:r w:rsidRPr="00596420">
        <w:t>Druhá koncepce navrhuje náhradu stávajících metalických TK za optické kabely TOK (traťový optický kabel) včetně přenosových systémů na OK.</w:t>
      </w:r>
    </w:p>
    <w:p w:rsidR="00A25F18" w:rsidRPr="00A34A72" w:rsidRDefault="00A25F18" w:rsidP="00A25F18">
      <w:pPr>
        <w:spacing w:line="312" w:lineRule="auto"/>
      </w:pPr>
    </w:p>
    <w:p w:rsidR="00A25F18" w:rsidRPr="00185067" w:rsidRDefault="00A25F18" w:rsidP="00A25F18">
      <w:pPr>
        <w:spacing w:line="312" w:lineRule="auto"/>
      </w:pPr>
      <w:r w:rsidRPr="00185067">
        <w:t>Srovnání obou koncepcí - při srovnání obou koncepcí řešení lze konstatovat, že hlavní rozlišující</w:t>
      </w:r>
      <w:r w:rsidR="00623A1B">
        <w:t>m</w:t>
      </w:r>
      <w:r w:rsidRPr="00185067">
        <w:t xml:space="preserve"> ukazatelem kromě technické stránky jsou vynaložené náklady. Dále využitelnost a další technická perspektiva zařízení, údržba a další související provozní náklady. Celkově lze srovnání shrnout do následujících bodů:</w:t>
      </w:r>
    </w:p>
    <w:p w:rsidR="00A25F18" w:rsidRPr="00A34A72" w:rsidRDefault="00A25F18" w:rsidP="00A25F18"/>
    <w:tbl>
      <w:tblPr>
        <w:tblStyle w:val="Svtlstnovnzvraznn1"/>
        <w:tblW w:w="9038" w:type="dxa"/>
        <w:tblLook w:val="04A0" w:firstRow="1" w:lastRow="0" w:firstColumn="1" w:lastColumn="0" w:noHBand="0" w:noVBand="1"/>
      </w:tblPr>
      <w:tblGrid>
        <w:gridCol w:w="4219"/>
        <w:gridCol w:w="2126"/>
        <w:gridCol w:w="2693"/>
      </w:tblGrid>
      <w:tr w:rsidR="00A25F18" w:rsidRPr="00185067" w:rsidTr="003A5E4B">
        <w:trPr>
          <w:cnfStyle w:val="100000000000" w:firstRow="1" w:lastRow="0" w:firstColumn="0" w:lastColumn="0" w:oddVBand="0" w:evenVBand="0" w:oddHBand="0" w:evenHBand="0" w:firstRowFirstColumn="0" w:firstRowLastColumn="0" w:lastRowFirstColumn="0" w:lastRowLastColumn="0"/>
          <w:trHeight w:val="494"/>
        </w:trPr>
        <w:tc>
          <w:tcPr>
            <w:cnfStyle w:val="001000000000" w:firstRow="0" w:lastRow="0" w:firstColumn="1" w:lastColumn="0" w:oddVBand="0" w:evenVBand="0" w:oddHBand="0" w:evenHBand="0" w:firstRowFirstColumn="0" w:firstRowLastColumn="0" w:lastRowFirstColumn="0" w:lastRowLastColumn="0"/>
            <w:tcW w:w="4219" w:type="dxa"/>
            <w:vAlign w:val="center"/>
          </w:tcPr>
          <w:p w:rsidR="00A25F18" w:rsidRPr="00185067" w:rsidRDefault="00A25F18" w:rsidP="003A5E4B">
            <w:r>
              <w:t>Popis</w:t>
            </w:r>
          </w:p>
        </w:tc>
        <w:tc>
          <w:tcPr>
            <w:tcW w:w="2126" w:type="dxa"/>
            <w:vAlign w:val="center"/>
          </w:tcPr>
          <w:p w:rsidR="00A25F18" w:rsidRPr="00185067" w:rsidRDefault="00A25F18" w:rsidP="003A5E4B">
            <w:pPr>
              <w:cnfStyle w:val="100000000000" w:firstRow="1" w:lastRow="0" w:firstColumn="0" w:lastColumn="0" w:oddVBand="0" w:evenVBand="0" w:oddHBand="0" w:evenHBand="0" w:firstRowFirstColumn="0" w:firstRowLastColumn="0" w:lastRowFirstColumn="0" w:lastRowLastColumn="0"/>
            </w:pPr>
            <w:r w:rsidRPr="00185067">
              <w:t>náhrada TK</w:t>
            </w:r>
          </w:p>
        </w:tc>
        <w:tc>
          <w:tcPr>
            <w:tcW w:w="2693" w:type="dxa"/>
            <w:vAlign w:val="center"/>
          </w:tcPr>
          <w:p w:rsidR="00A25F18" w:rsidRPr="00185067" w:rsidRDefault="00A25F18" w:rsidP="003A5E4B">
            <w:pPr>
              <w:cnfStyle w:val="100000000000" w:firstRow="1" w:lastRow="0" w:firstColumn="0" w:lastColumn="0" w:oddVBand="0" w:evenVBand="0" w:oddHBand="0" w:evenHBand="0" w:firstRowFirstColumn="0" w:firstRowLastColumn="0" w:lastRowFirstColumn="0" w:lastRowLastColumn="0"/>
            </w:pPr>
            <w:r w:rsidRPr="00185067">
              <w:t>náhrada TK za TOK</w:t>
            </w:r>
          </w:p>
        </w:tc>
      </w:tr>
      <w:tr w:rsidR="00A25F18" w:rsidRPr="00185067" w:rsidTr="003A5E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 xml:space="preserve">náklady na mezistaniční kabelizace </w:t>
            </w:r>
          </w:p>
        </w:tc>
        <w:tc>
          <w:tcPr>
            <w:tcW w:w="2126"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velmi vysoké</w:t>
            </w:r>
          </w:p>
        </w:tc>
        <w:tc>
          <w:tcPr>
            <w:tcW w:w="2693"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nízké</w:t>
            </w:r>
          </w:p>
        </w:tc>
      </w:tr>
      <w:tr w:rsidR="00A25F18" w:rsidRPr="00185067" w:rsidTr="003A5E4B">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lastRenderedPageBreak/>
              <w:t>náklady na MK</w:t>
            </w:r>
          </w:p>
        </w:tc>
        <w:tc>
          <w:tcPr>
            <w:tcW w:w="2126"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vyšší</w:t>
            </w:r>
          </w:p>
        </w:tc>
        <w:tc>
          <w:tcPr>
            <w:tcW w:w="2693"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nižší</w:t>
            </w:r>
          </w:p>
        </w:tc>
      </w:tr>
      <w:tr w:rsidR="00A25F18" w:rsidRPr="00185067" w:rsidTr="003A5E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náklady na kabelizaci přípojných tratí</w:t>
            </w:r>
          </w:p>
        </w:tc>
        <w:tc>
          <w:tcPr>
            <w:tcW w:w="2126"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srovnatelné</w:t>
            </w:r>
          </w:p>
        </w:tc>
        <w:tc>
          <w:tcPr>
            <w:tcW w:w="2693"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srovnatelné</w:t>
            </w:r>
          </w:p>
        </w:tc>
      </w:tr>
      <w:tr w:rsidR="00A25F18" w:rsidRPr="00185067" w:rsidTr="003A5E4B">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náklady na přenosové zařízení</w:t>
            </w:r>
          </w:p>
        </w:tc>
        <w:tc>
          <w:tcPr>
            <w:tcW w:w="2126"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nízké</w:t>
            </w:r>
          </w:p>
        </w:tc>
        <w:tc>
          <w:tcPr>
            <w:tcW w:w="2693"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vysoké</w:t>
            </w:r>
          </w:p>
        </w:tc>
      </w:tr>
      <w:tr w:rsidR="00A25F18" w:rsidRPr="00185067" w:rsidTr="003A5E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náklady na úpravy zapojovačů</w:t>
            </w:r>
          </w:p>
        </w:tc>
        <w:tc>
          <w:tcPr>
            <w:tcW w:w="2126"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nízké</w:t>
            </w:r>
          </w:p>
        </w:tc>
        <w:tc>
          <w:tcPr>
            <w:tcW w:w="2693"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vyšší</w:t>
            </w:r>
          </w:p>
        </w:tc>
      </w:tr>
      <w:tr w:rsidR="00A25F18" w:rsidRPr="00185067" w:rsidTr="003A5E4B">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 xml:space="preserve">náklady na úpravy ostatních technologií </w:t>
            </w:r>
          </w:p>
        </w:tc>
        <w:tc>
          <w:tcPr>
            <w:tcW w:w="2126"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nízké</w:t>
            </w:r>
          </w:p>
        </w:tc>
        <w:tc>
          <w:tcPr>
            <w:tcW w:w="2693"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vyšší</w:t>
            </w:r>
          </w:p>
        </w:tc>
      </w:tr>
      <w:tr w:rsidR="00A25F18" w:rsidRPr="00185067" w:rsidTr="003A5E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technická perspektiva</w:t>
            </w:r>
          </w:p>
        </w:tc>
        <w:tc>
          <w:tcPr>
            <w:tcW w:w="2126"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velmi nízká</w:t>
            </w:r>
          </w:p>
        </w:tc>
        <w:tc>
          <w:tcPr>
            <w:tcW w:w="2693"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vysoká</w:t>
            </w:r>
          </w:p>
        </w:tc>
      </w:tr>
      <w:tr w:rsidR="00A25F18" w:rsidRPr="00185067" w:rsidTr="003A5E4B">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rozšiřitelnost</w:t>
            </w:r>
          </w:p>
        </w:tc>
        <w:tc>
          <w:tcPr>
            <w:tcW w:w="2126"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nízká</w:t>
            </w:r>
          </w:p>
        </w:tc>
        <w:tc>
          <w:tcPr>
            <w:tcW w:w="2693"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vysoká</w:t>
            </w:r>
          </w:p>
        </w:tc>
      </w:tr>
      <w:tr w:rsidR="00A25F18" w:rsidRPr="00185067" w:rsidTr="003A5E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náklady na údržbu</w:t>
            </w:r>
          </w:p>
        </w:tc>
        <w:tc>
          <w:tcPr>
            <w:tcW w:w="2126"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stoupající</w:t>
            </w:r>
          </w:p>
        </w:tc>
        <w:tc>
          <w:tcPr>
            <w:tcW w:w="2693" w:type="dxa"/>
          </w:tcPr>
          <w:p w:rsidR="00A25F18" w:rsidRPr="00185067" w:rsidRDefault="00A25F18" w:rsidP="003A5E4B">
            <w:pPr>
              <w:cnfStyle w:val="000000100000" w:firstRow="0" w:lastRow="0" w:firstColumn="0" w:lastColumn="0" w:oddVBand="0" w:evenVBand="0" w:oddHBand="1" w:evenHBand="0" w:firstRowFirstColumn="0" w:firstRowLastColumn="0" w:lastRowFirstColumn="0" w:lastRowLastColumn="0"/>
            </w:pPr>
            <w:r w:rsidRPr="00185067">
              <w:t>klesající</w:t>
            </w:r>
          </w:p>
        </w:tc>
      </w:tr>
      <w:tr w:rsidR="00A25F18" w:rsidRPr="00185067" w:rsidTr="003A5E4B">
        <w:tc>
          <w:tcPr>
            <w:cnfStyle w:val="001000000000" w:firstRow="0" w:lastRow="0" w:firstColumn="1" w:lastColumn="0" w:oddVBand="0" w:evenVBand="0" w:oddHBand="0" w:evenHBand="0" w:firstRowFirstColumn="0" w:firstRowLastColumn="0" w:lastRowFirstColumn="0" w:lastRowLastColumn="0"/>
            <w:tcW w:w="4219" w:type="dxa"/>
          </w:tcPr>
          <w:p w:rsidR="00A25F18" w:rsidRPr="00185067" w:rsidRDefault="00A25F18" w:rsidP="003A5E4B">
            <w:r w:rsidRPr="00185067">
              <w:t>požadavky na úpravu předpisů a směrnic</w:t>
            </w:r>
          </w:p>
        </w:tc>
        <w:tc>
          <w:tcPr>
            <w:tcW w:w="2126"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nejsou</w:t>
            </w:r>
          </w:p>
        </w:tc>
        <w:tc>
          <w:tcPr>
            <w:tcW w:w="2693" w:type="dxa"/>
          </w:tcPr>
          <w:p w:rsidR="00A25F18" w:rsidRPr="00185067" w:rsidRDefault="00A25F18" w:rsidP="003A5E4B">
            <w:pPr>
              <w:cnfStyle w:val="000000000000" w:firstRow="0" w:lastRow="0" w:firstColumn="0" w:lastColumn="0" w:oddVBand="0" w:evenVBand="0" w:oddHBand="0" w:evenHBand="0" w:firstRowFirstColumn="0" w:firstRowLastColumn="0" w:lastRowFirstColumn="0" w:lastRowLastColumn="0"/>
            </w:pPr>
            <w:r w:rsidRPr="00185067">
              <w:t>nutné</w:t>
            </w:r>
          </w:p>
        </w:tc>
      </w:tr>
    </w:tbl>
    <w:p w:rsidR="00A25F18" w:rsidRDefault="00A25F18" w:rsidP="00A25F18"/>
    <w:p w:rsidR="00A25F18" w:rsidRPr="00185067" w:rsidRDefault="00623A1B" w:rsidP="00A25F18">
      <w:pPr>
        <w:spacing w:line="312" w:lineRule="auto"/>
      </w:pPr>
      <w:r>
        <w:t>Větší</w:t>
      </w:r>
      <w:r w:rsidR="00A25F18" w:rsidRPr="00185067">
        <w:t xml:space="preserve"> část nákladů se odehrává v oblasti zemních prací, </w:t>
      </w:r>
      <w:r>
        <w:t>která</w:t>
      </w:r>
      <w:r w:rsidR="00A25F18" w:rsidRPr="00185067">
        <w:t xml:space="preserve"> </w:t>
      </w:r>
      <w:r>
        <w:t xml:space="preserve">má </w:t>
      </w:r>
      <w:r w:rsidR="00A25F18" w:rsidRPr="00185067">
        <w:t>navíc stoupající tendenci jsou hlavní položkou nákladů kabelizace. U ostatních srovnávacích položek, které se týkají technologií, se jedná o řádově nižší náklady, které mají klesající tendenci.</w:t>
      </w:r>
    </w:p>
    <w:p w:rsidR="00A25F18" w:rsidRPr="00A25F18" w:rsidRDefault="00A25F18" w:rsidP="00A25F18">
      <w:r w:rsidRPr="00185067">
        <w:t>Obecně lze konstatovat, že náklady na novou koncepci mohou o až 2/3 nižší než u základní koncepce</w:t>
      </w:r>
    </w:p>
    <w:p w:rsidR="00676CAD" w:rsidRDefault="00676CAD">
      <w:pPr>
        <w:rPr>
          <w:b/>
        </w:rPr>
      </w:pPr>
      <w:r>
        <w:rPr>
          <w:b/>
        </w:rPr>
        <w:br w:type="page"/>
      </w:r>
    </w:p>
    <w:p w:rsidR="00676CAD" w:rsidRDefault="00676CAD" w:rsidP="00676CAD">
      <w:pPr>
        <w:pStyle w:val="Nadpis1"/>
        <w:ind w:left="720"/>
      </w:pPr>
      <w:bookmarkStart w:id="19" w:name="_Toc456957685"/>
      <w:r>
        <w:lastRenderedPageBreak/>
        <w:t>6.3 Silnoproudá technologie</w:t>
      </w:r>
      <w:bookmarkEnd w:id="19"/>
    </w:p>
    <w:p w:rsidR="00676CAD" w:rsidRDefault="00676CAD" w:rsidP="00676CAD"/>
    <w:p w:rsidR="002862A0" w:rsidRDefault="002862A0" w:rsidP="002862A0">
      <w:pPr>
        <w:pStyle w:val="Nadpis3"/>
      </w:pPr>
      <w:bookmarkStart w:id="20" w:name="_Toc456957686"/>
      <w:r>
        <w:t xml:space="preserve">6.3.1 </w:t>
      </w:r>
      <w:r w:rsidRPr="002862A0">
        <w:t>Posouzení střídavá x stejnosměrná trakce</w:t>
      </w:r>
      <w:bookmarkEnd w:id="20"/>
    </w:p>
    <w:p w:rsidR="002862A0" w:rsidRDefault="002862A0" w:rsidP="002862A0">
      <w:pPr>
        <w:spacing w:after="0" w:line="240" w:lineRule="auto"/>
        <w:ind w:firstLine="284"/>
        <w:jc w:val="both"/>
        <w:rPr>
          <w:rFonts w:eastAsia="Times New Roman" w:cs="Arial"/>
          <w:sz w:val="20"/>
          <w:szCs w:val="20"/>
        </w:rPr>
      </w:pP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V souvislosti s růstem rychlosti jízdy vlaků rostou výkony vozidel. Stávající napájecí systém 3kV DC se pro výhledovou dopravu jeví jako naprosto nedostatečný, což prokazují i energetické výpočty zpracovávané v rámci této studie. U soustavy 3kV DC je především problém při poklesu napětí pod 2700V s nuceným omezováním výkonu vozidel (viz </w:t>
      </w:r>
      <w:r w:rsidRPr="002862A0">
        <w:rPr>
          <w:rFonts w:eastAsia="Times New Roman" w:cs="Arial"/>
          <w:bCs/>
          <w:sz w:val="20"/>
          <w:szCs w:val="20"/>
        </w:rPr>
        <w:t>TSI LOC&amp;PAS</w:t>
      </w:r>
      <w:r w:rsidRPr="002862A0">
        <w:rPr>
          <w:rFonts w:eastAsia="Times New Roman" w:cs="Arial"/>
          <w:sz w:val="20"/>
          <w:szCs w:val="20"/>
        </w:rPr>
        <w:t xml:space="preserve"> a ČSN EN 50388) a dále nesplnění kvality napájení podle ČSN EN 50388, což hrozí ztrátou nároku na příspěvek z OPD. Přitom nejde jen o celkový úbytek napětí, ale i o úbytek napětí na zpětném vedení (na kolejnicích), tedy o splnění limitů dotykového napětí podle ČSN EN 50 122.</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V trakčním vedení napájeném soustavou 3kV DC oproti soustavě 25kV AC jsou výrazně vyšší ztráty. Pokles napětí v soustavě 3kV DC (velké proudy) způsobuje snížení trakčního výkonu vozidel, jehož důsledkem je nedodržování jízdních dob podle jízdního řádu.</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Systém 25 kV má menší ztráty, vyšší zatížitelnost, větší přenosovou schopnost a tedy i větší možnou délku napájených úseků (méně napájecích stanic, příznivější poměr maximálních a středních výkonů – investiční i provozní úspora). </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Tyto vlastnosti systému 25 kV mají význam nejen pro zajištění provozu na již elektrizovaných tratích, ale i pro ekonomicky efektivní (a tedy reálnou) elektrizaci dalších dosud neelektrifikovaných tratí. Tato souvislost je patrná kupříkladu na trati Přerov - Břeclav, kde se přesunutím hranice mezi napájením 3 kV a 25 kV z Nedakonic do Říkovic otevírá cesta k racionální elektrizaci tratí Otrokovice – Vizovice, Staré Město u Uherského Hradiště – Luhačovice / Bojkovice / Veselí nad Moravou – Brno, Hulín – Kojetín, Hulín - Valašské Meziříčí a Přerov (mimo) – Nezamyslice – Vyškov – Brno.  </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Z výše uvedeného a z výhledů dopravy by při respektování požadavků ČSN EN 50388 a ČSN EN 50122 vyplývala nutnost instalace stejnosměrných napájecích bodů na hlavních tratích po cca 10km. To se ovšem nejeví příliš reálné, zejména z hlediska zajištění požadovaných výkonů od nadřazených distributorů el. energie a zejména zajištění přívodů vn, případně vvn pro tyto nové napájecí stanice. </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Samostatným tématem je vodivost zpětné cesty. Současné kolejnice legované manganem mají podle posledních měření značně větší odpor, než je odpor uváděný v předpisu SR 34. Tento odpor způsobuje zvýšené úbytky napětí na koleji a nutnost jejího přizemňování, což však naráží na podmínky pro správnou činnost kolejových obvodů železničních zabezpečovacích zařízení. </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Z tohoto pohledu se jeví jako nanejvýš vhodné koordinovat modernizaci elektrického napájení s modernizací zabezpečovací techniky, spočívající ve využití systému ETCS a počítačů náprav. U tohoto systému zabezpečení vlakové dopravy není (po skončení migračního období) problém s uzemněním kolejnice a tím snížení dotykového napětí. Problém je však s nemožností uzemnění koleje u stejnosměrné trakce 3 kV DC z důvodu podpory úniku bludných proudů.</w:t>
      </w:r>
    </w:p>
    <w:p w:rsidR="002862A0" w:rsidRPr="002862A0" w:rsidRDefault="002862A0" w:rsidP="002862A0">
      <w:pPr>
        <w:spacing w:after="0" w:line="240" w:lineRule="auto"/>
        <w:ind w:firstLine="284"/>
        <w:jc w:val="both"/>
        <w:rPr>
          <w:rFonts w:eastAsia="Times New Roman" w:cs="Arial"/>
          <w:sz w:val="20"/>
          <w:szCs w:val="20"/>
          <w:highlight w:val="green"/>
        </w:rPr>
      </w:pPr>
    </w:p>
    <w:p w:rsid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S přihlédnutím k výše uvedeným argumentům se jeví jako nanejvýš vhodné použití střídavé trakční soustavy 25 kV, 50 Hz pro napájení trakčního vedení.</w:t>
      </w:r>
    </w:p>
    <w:p w:rsidR="002862A0" w:rsidRPr="002862A0" w:rsidRDefault="002862A0" w:rsidP="002862A0">
      <w:pPr>
        <w:spacing w:after="0" w:line="240" w:lineRule="auto"/>
        <w:ind w:firstLine="284"/>
        <w:jc w:val="both"/>
        <w:rPr>
          <w:rFonts w:eastAsia="Times New Roman" w:cs="Arial"/>
          <w:sz w:val="20"/>
          <w:szCs w:val="20"/>
        </w:rPr>
      </w:pPr>
    </w:p>
    <w:p w:rsidR="002862A0" w:rsidRDefault="002862A0" w:rsidP="002862A0">
      <w:pPr>
        <w:pStyle w:val="Nadpis3"/>
      </w:pPr>
      <w:bookmarkStart w:id="21" w:name="_Toc456957687"/>
      <w:r>
        <w:t xml:space="preserve">6.3.2 </w:t>
      </w:r>
      <w:r w:rsidRPr="002862A0">
        <w:t>Technické řešení napájení</w:t>
      </w:r>
      <w:bookmarkEnd w:id="21"/>
    </w:p>
    <w:p w:rsidR="002862A0" w:rsidRPr="002862A0" w:rsidRDefault="002862A0" w:rsidP="002862A0"/>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Při přestavbě napájecího sytému 3 kV na 25 kV AC se předpokládá především využití stávajících napájecích bodů v soustavě 3 kV DC, neboť všeobecně obtížná průchodnost liniových staveb územím (v tomto případě elektrických vedení) velmi komplikuje zřizování nových připojení k distribuční síti. Cílem je využít existujících napájecích stanice jak pro napájení tratí, na kterých byly v minulosti zřízeny, tak i tratí z nich odbočujících. Některé tyto trakční napájecí stanice (zhruba polovina) jsou od svého vzniku napájeny z rozvodu 110 kV (ovšem s velmi různou výší zkratového výkonu), a některé z rozvodu 22kV, ve kterém jsou velmi nízké zkratové výkony. Rovněž i výkony využitelné pro odběr v dané oblasti jsou omezené. Ve srovnání s minulostí, kdy byla tolerována vyšší hodnota nesymetrického odběru, je v současnosti nesymetrický odběr jednoho odběratele limitován výkonem na úrovni 0,7 % zkratového výkonu. Toto v kombinaci s růstem výkonu vozidel i s požadavkem na napájení rozsáhlejších kolejových celků (lepší vyrovnání okamžitých a středních výkonů, </w:t>
      </w:r>
      <w:r w:rsidRPr="002862A0">
        <w:rPr>
          <w:rFonts w:eastAsia="Times New Roman" w:cs="Arial"/>
          <w:sz w:val="20"/>
          <w:szCs w:val="20"/>
        </w:rPr>
        <w:lastRenderedPageBreak/>
        <w:t>vnitřní využití rekuperované energie s minimalizací zpětných toků do distribuční sítě) prakticky znemožňuje použití dosavadního způsobu připojení nesymetrického transformátoru (zapojení V nebo I) k distribuční síti.</w:t>
      </w:r>
    </w:p>
    <w:p w:rsid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Pro možnost napájení jednofázových železnic 25 kV 50 Hz z třífázových distribučních sítí 3 x 110 kV, respektive v rámci limitů výkonu i 3 x 22 kV při respektování požadavků na dodržení symetrie proudového odběru (a tím i symetrii napětí v distribuční síti) jsou v napájecích bodech navrhovány aktivní balancéry. Tyto při napájení TV 25 kV AC jednotnou fází (bez prostřídání) zajistí rovnoměrnost zatížení všech tří fází distribuční sítě. Jde o technologii již ze stejných důvodů v zahraničí úspěšně zavedenou a používanou.</w:t>
      </w:r>
    </w:p>
    <w:p w:rsidR="002862A0" w:rsidRPr="002862A0" w:rsidRDefault="002862A0" w:rsidP="002862A0">
      <w:pPr>
        <w:spacing w:after="0" w:line="240" w:lineRule="auto"/>
        <w:ind w:firstLine="284"/>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 xml:space="preserve">Napájení ze stejné fáze </w:t>
      </w:r>
    </w:p>
    <w:p w:rsid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Balancéry zajistí rozložení jednofázového odběru do všech tří fází distribuční sítě. Tím budou splněny jak požadavky ze strany železnice (spojité nepřerušované napájení trakčních a pomocných pohonů vozidel, spojitá nepřerušovaná možnost rekuperace, jednoduché trakční vedení bez neutrálních polí) tak i požadavky energetiky (symetrický třífázový odběr, vyrovnaný průběh výkonu z distribuční sítě ve velkém územním celku, rekuperovaná energie přednostně využita jinými vlaky). Balancéry tedy umožní soufázové napájení, tzn. napájení střídavé trakce ze stejné fáze (odpadá střídání fází v trakčním vedení). </w:t>
      </w:r>
    </w:p>
    <w:p w:rsidR="002862A0" w:rsidRPr="002862A0" w:rsidRDefault="002862A0" w:rsidP="002862A0">
      <w:pPr>
        <w:spacing w:after="0" w:line="240" w:lineRule="auto"/>
        <w:ind w:firstLine="284"/>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Dvoustranné napájení</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 xml:space="preserve">Ve spojení se stabilizací výstupního napětí napájecí stanice je možný paralelní chod sousedních napájecích stanic. Stabilizace výstupního napětí 27 kV je zajistitelná funkcí balancéru – řízení úbytku napětí na vnitřní impedanci transformátoru jalovým proudem, a to v kombinaci s přepínáním odboček transformátoru při velkých odchylkách. Tím vzniká možnost paralelního chodu a vzájemného propojení TNS trakčním vedením, obdobně jako na stejnosměrné trakci. </w:t>
      </w:r>
    </w:p>
    <w:p w:rsid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Toto umožní odstranit neutrální pole mezi TNS, což má dva efekty. Jednak nebude nutné vypínání odběrů hnacích vozidel při průjezdu NP a také bude možné optimalizovat odběry bez většího množství špičkových hodnot (s podstatně vyšší střední hodnotou odebíraného proudu). Propojení větších celků též umožňuje rekuperaci el. energie mezi vozidly v rámci trakčního vedení s možností minimalizace přetoků rekuperované energie do distribuční sítě. Řízení napětí se dá využít i pro případné rozmrazování trakčního vedení.</w:t>
      </w:r>
    </w:p>
    <w:p w:rsidR="002862A0" w:rsidRPr="002862A0" w:rsidRDefault="002862A0" w:rsidP="002862A0">
      <w:pPr>
        <w:spacing w:after="0" w:line="240" w:lineRule="auto"/>
        <w:ind w:firstLine="284"/>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Kompenzace účiníku</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Dále budou balancéry využívány pro kompenzaci účiníku. Při předpokladu perspektivního používání pohonných jednotek s účiníkem cos ϕ blížícím se k 1 budou balancéry dorovnávat potřebný účiník induktivním nebo kapacitním proudem (v rámci dovolené tolerance účiníku je jalovým proudem řízeno výstupní napětí). Při provozu pouze s novými pohonnými jednotkami nebude nutno budovat filtračně kompenzační zařízení. Současná situace je následující:</w:t>
      </w:r>
    </w:p>
    <w:p w:rsidR="002862A0" w:rsidRPr="002862A0" w:rsidRDefault="002862A0" w:rsidP="002862A0">
      <w:pPr>
        <w:spacing w:after="0" w:line="240" w:lineRule="auto"/>
        <w:ind w:firstLine="284"/>
        <w:jc w:val="both"/>
        <w:rPr>
          <w:rFonts w:eastAsia="Times New Roman" w:cs="Arial"/>
          <w:sz w:val="20"/>
          <w:szCs w:val="20"/>
        </w:rPr>
      </w:pPr>
      <w:r w:rsidRPr="002862A0">
        <w:rPr>
          <w:rFonts w:eastAsia="Times New Roman" w:cs="Arial"/>
          <w:sz w:val="20"/>
          <w:szCs w:val="20"/>
        </w:rPr>
        <w:t>Dnešní vozidla lze podle práce na systému 25 kV zhruba rozdělit do tří skupin:</w:t>
      </w:r>
    </w:p>
    <w:p w:rsidR="002862A0" w:rsidRPr="002862A0" w:rsidRDefault="002862A0" w:rsidP="002862A0">
      <w:pPr>
        <w:numPr>
          <w:ilvl w:val="0"/>
          <w:numId w:val="31"/>
        </w:numPr>
        <w:spacing w:before="120" w:after="120" w:line="240" w:lineRule="auto"/>
        <w:ind w:left="709" w:hanging="425"/>
        <w:jc w:val="both"/>
        <w:rPr>
          <w:rFonts w:eastAsiaTheme="minorHAnsi" w:cs="Arial"/>
          <w:sz w:val="20"/>
          <w:szCs w:val="20"/>
          <w:lang w:eastAsia="en-US"/>
        </w:rPr>
      </w:pPr>
      <w:r w:rsidRPr="002862A0">
        <w:rPr>
          <w:rFonts w:eastAsiaTheme="minorHAnsi" w:cs="Arial"/>
          <w:sz w:val="20"/>
          <w:szCs w:val="20"/>
          <w:lang w:eastAsia="en-US"/>
        </w:rPr>
        <w:t>Současná vozidla se čtyřkvadrantovými vstupními měniči (Vectron, Taurus, 380, 640, 650,363.5,…) - odebírají sinusový proud (neprodukují vyšší harmonické složky, neodebírají deformační výkon) a ten je téměř ve fázi s napětím (není časově posunut, téměř neodebírají jalový výkon),</w:t>
      </w:r>
    </w:p>
    <w:p w:rsidR="002862A0" w:rsidRPr="002862A0" w:rsidRDefault="002862A0" w:rsidP="002862A0">
      <w:pPr>
        <w:numPr>
          <w:ilvl w:val="0"/>
          <w:numId w:val="31"/>
        </w:numPr>
        <w:spacing w:before="120" w:after="120" w:line="240" w:lineRule="auto"/>
        <w:ind w:left="709" w:hanging="425"/>
        <w:jc w:val="both"/>
        <w:rPr>
          <w:rFonts w:eastAsiaTheme="minorHAnsi" w:cs="Arial"/>
          <w:sz w:val="20"/>
          <w:szCs w:val="20"/>
          <w:lang w:eastAsia="en-US"/>
        </w:rPr>
      </w:pPr>
      <w:r w:rsidRPr="002862A0">
        <w:rPr>
          <w:rFonts w:eastAsiaTheme="minorHAnsi" w:cs="Arial"/>
          <w:sz w:val="20"/>
          <w:szCs w:val="20"/>
          <w:lang w:eastAsia="en-US"/>
        </w:rPr>
        <w:t>Starší vozidla s diodovými usměrňovači (230, 363, …) - odebírají nesinusový proud (produkují vyšší harmonické složky, odebírají deformační výkon) a ten není ve fázi s napětím (je časově posunut, odebírají jalový výkon)</w:t>
      </w:r>
    </w:p>
    <w:p w:rsidR="002862A0" w:rsidRPr="002862A0" w:rsidRDefault="002862A0" w:rsidP="002862A0">
      <w:pPr>
        <w:numPr>
          <w:ilvl w:val="0"/>
          <w:numId w:val="31"/>
        </w:numPr>
        <w:spacing w:before="120" w:after="120" w:line="240" w:lineRule="auto"/>
        <w:ind w:left="709" w:hanging="425"/>
        <w:jc w:val="both"/>
        <w:rPr>
          <w:rFonts w:eastAsiaTheme="minorHAnsi" w:cs="Arial"/>
          <w:sz w:val="20"/>
          <w:szCs w:val="20"/>
          <w:lang w:eastAsia="en-US"/>
        </w:rPr>
      </w:pPr>
      <w:r w:rsidRPr="002862A0">
        <w:rPr>
          <w:rFonts w:eastAsiaTheme="minorHAnsi" w:cs="Arial"/>
          <w:sz w:val="20"/>
          <w:szCs w:val="20"/>
          <w:lang w:eastAsia="en-US"/>
        </w:rPr>
        <w:t>Starší vozidla s tyristorovými usměrňovači (210, 560, …) - odebírají nesinusový proud (produkují vyšší harmonické složky, odebírají deformační výkon) a ten není ve fázi s napětím (je hodně časově posunut, odebírají velký jalový výkon).</w:t>
      </w:r>
    </w:p>
    <w:p w:rsidR="002862A0" w:rsidRPr="002862A0" w:rsidRDefault="002862A0" w:rsidP="002862A0">
      <w:pPr>
        <w:spacing w:after="120" w:line="240" w:lineRule="auto"/>
        <w:jc w:val="both"/>
        <w:rPr>
          <w:rFonts w:eastAsiaTheme="minorHAnsi" w:cs="Arial"/>
          <w:sz w:val="20"/>
          <w:szCs w:val="20"/>
          <w:lang w:eastAsia="en-US"/>
        </w:rPr>
      </w:pPr>
      <w:r w:rsidRPr="002862A0">
        <w:rPr>
          <w:rFonts w:eastAsiaTheme="minorHAnsi" w:cs="Arial"/>
          <w:sz w:val="20"/>
          <w:szCs w:val="20"/>
          <w:lang w:eastAsia="en-US"/>
        </w:rPr>
        <w:t>Aktivní balancér umí kompenzovat fázové posunutí (jalový výkon). Též si poradí (ve spolupráci s transformátorem se zapojením do trojúhelníku) se třetí harmonickou složkou proudu, která bývá nejsilnější. Zbývají vyšší harmonické počínaje pátou. O tom, jaký mají vliv na křivku napětí v síti (tedy jaký způsobí poměrný úbytek napětí na impedancích mezi alternátorem v elektrárně a místem odběru) rozhodují dvě věci:</w:t>
      </w:r>
    </w:p>
    <w:p w:rsidR="002862A0" w:rsidRPr="002862A0" w:rsidRDefault="002862A0" w:rsidP="002862A0">
      <w:pPr>
        <w:numPr>
          <w:ilvl w:val="0"/>
          <w:numId w:val="33"/>
        </w:numPr>
        <w:spacing w:before="120" w:after="120" w:line="240" w:lineRule="auto"/>
        <w:jc w:val="both"/>
        <w:rPr>
          <w:rFonts w:eastAsiaTheme="minorHAnsi" w:cs="Arial"/>
          <w:sz w:val="20"/>
          <w:szCs w:val="20"/>
          <w:lang w:eastAsia="en-US"/>
        </w:rPr>
      </w:pPr>
      <w:r w:rsidRPr="002862A0">
        <w:rPr>
          <w:rFonts w:eastAsiaTheme="minorHAnsi" w:cs="Arial"/>
          <w:sz w:val="20"/>
          <w:szCs w:val="20"/>
          <w:lang w:eastAsia="en-US"/>
        </w:rPr>
        <w:lastRenderedPageBreak/>
        <w:t>v jaké míře se tyto odběry podílí na celkovém odběru (zde nepřímo působí balancér pozitivně - umožňuje spojovat velká území, tedy přidat k neharmonickým odběrům odběry harmonické a tím snížit jejich poměrnou část)</w:t>
      </w:r>
    </w:p>
    <w:p w:rsidR="002862A0" w:rsidRPr="002862A0" w:rsidRDefault="002862A0" w:rsidP="002862A0">
      <w:pPr>
        <w:numPr>
          <w:ilvl w:val="0"/>
          <w:numId w:val="33"/>
        </w:numPr>
        <w:spacing w:before="120" w:after="120" w:line="240" w:lineRule="auto"/>
        <w:jc w:val="both"/>
        <w:rPr>
          <w:rFonts w:eastAsiaTheme="minorHAnsi" w:cs="Arial"/>
          <w:sz w:val="20"/>
          <w:szCs w:val="20"/>
          <w:lang w:eastAsia="en-US"/>
        </w:rPr>
      </w:pPr>
      <w:r w:rsidRPr="002862A0">
        <w:rPr>
          <w:rFonts w:eastAsiaTheme="minorHAnsi" w:cs="Arial"/>
          <w:sz w:val="20"/>
          <w:szCs w:val="20"/>
          <w:lang w:eastAsia="en-US"/>
        </w:rPr>
        <w:t>jak je síť tvrdá (nízká impedance, tedy velký zkratový výkon – případně naopak velká impedance, tedy nízký zkratový výkon).</w:t>
      </w:r>
    </w:p>
    <w:p w:rsidR="002862A0" w:rsidRDefault="002862A0" w:rsidP="002862A0">
      <w:pPr>
        <w:spacing w:after="0" w:line="240" w:lineRule="auto"/>
        <w:jc w:val="both"/>
        <w:rPr>
          <w:rFonts w:eastAsia="Times New Roman" w:cs="Arial"/>
          <w:sz w:val="20"/>
          <w:szCs w:val="20"/>
        </w:rPr>
      </w:pPr>
      <w:r w:rsidRPr="002862A0">
        <w:rPr>
          <w:rFonts w:eastAsia="Times New Roman" w:cs="Arial"/>
          <w:sz w:val="20"/>
          <w:szCs w:val="20"/>
        </w:rPr>
        <w:t>Na základě těchto informací je nutno individuálně posoudit, zda je úroveň vyšších harmonických složek tolerovatelná nebo zda je potřeba tyto vyšší harmonické odstranit doplněním filtrů.</w:t>
      </w:r>
    </w:p>
    <w:p w:rsidR="002862A0" w:rsidRPr="002862A0" w:rsidRDefault="002862A0" w:rsidP="002862A0">
      <w:pPr>
        <w:spacing w:after="0" w:line="240" w:lineRule="auto"/>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Napájecí stanice</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 xml:space="preserve">Jak již bylo řečeno dříve, je záměrem při přechodu napájení z DC trakce na AC trakci využívat stávající napájecí body z distribuční soustavy – tedy přebudovat měnírny na transformovny (pokud možno bez potřeby budovat další distribuční liniová vedení – obtížný průchod územím). </w:t>
      </w:r>
    </w:p>
    <w:p w:rsid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 xml:space="preserve">Při použití aktivních balancérů bude zajištěna symetrie odběru a lze tedy tato odběrná místa využít a to (v rámci dovoleného výkonového limitu) i ze sítě 22 kV, respektive i ze sítě 110 kV v místech nízkého zkratového výkonu. </w:t>
      </w:r>
    </w:p>
    <w:p w:rsidR="002862A0" w:rsidRPr="002862A0" w:rsidRDefault="002862A0" w:rsidP="002862A0">
      <w:pPr>
        <w:spacing w:after="120" w:line="240" w:lineRule="auto"/>
        <w:ind w:firstLine="284"/>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Redundance</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Při použití aktivních balancérů je možné u střídavých napájecích stanic využívat vnitřní redundanci (dva paralelní zdroje v rámci jedné napájecí stanice), tedy se dvěma transformátory. Díky soufázovosti je možné využívat i vnější redundanci (vzájemný záskok dvou sousedních napájecích stanic). Při vžití principu vnější redundance je možno podle místních poměrů budovat napájecí stanice buď s jednou technologickou sadou (transformátory a balancérem) - pouze vnější redundance nebo se dvěma technologickými sadami – vnější i vnitřní redundance. Na základě analýzy místních poměrů je potřebné v každém konkrétním případě posoudit, zda je vnitřní redundance potřebná a realizovatelná, případně s jakými náklady. Jedná se zejména o prostorové nároky nové technologie v původních místech stejnosměrných napájecích stanic. Z prošetření konkrétních podmínek vyplývá, že umístění nové technologie ve stávajících prostorách napájecích stanic nebude jednoduché a to zejména ve zdvojeném provedení (vnitřní redundance). Ve srovnání s dosavadní praxí napájení střídavé trakce z trakčních transformoven 25kV je však nutno vzít v úvahu poloviční vzdálenost napájecích stanic (původně stejnosměrných) a možnost vnější redundance. Další skutečností je, že nová zdvojená technologie je vnímána nikoliv jako studená záloha (buď/anebo, 100% nebo 100 %), jak je obvyklé u současných transformátorů 110 kV/22 kV respektive 110 kV/ 27 kV, ale jako paralelně pracující dvojice, což má význam zejména pro pokrytí výkonových špiček (například: jízda skupin těžkých nákladních vlaků v těsném sledu), tak pro napájení trakčního vedení na nově elektrizovaných odbočných tratích bez vlastních napájecích stanic.</w:t>
      </w:r>
    </w:p>
    <w:p w:rsid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Předběžně se ukazuje, že při chystané rekonstrukci stejnosměrných napájecích stanic na střídavé bude spíše většina mezilehlých střídavých napájecích stanic řešena pouze s jednou technologickou sadou (balancér a transformátory), tedy bez vnitřní redundance. V uzlových bodech napájecí sítě budou napájecí stranice řešeny se dvěma technologickými sadami (se dvěma transformátory a dvěma balancéry), tedy s vnější i vnitřní redundancí. V principu by řešení mezilehlých transformoven bez vnitřní redundance nemuselo být na závadu – stávající napájecí body trakčního DC vedení jsou cca v polovičních vzdálenostech (25 km) než u střídavého trakčního vedení (45 km).</w:t>
      </w:r>
    </w:p>
    <w:p w:rsidR="002862A0" w:rsidRPr="002862A0" w:rsidRDefault="002862A0" w:rsidP="002862A0">
      <w:pPr>
        <w:spacing w:after="120" w:line="240" w:lineRule="auto"/>
        <w:ind w:firstLine="284"/>
        <w:jc w:val="both"/>
        <w:rPr>
          <w:rFonts w:eastAsia="Times New Roman" w:cs="Arial"/>
          <w:sz w:val="20"/>
          <w:szCs w:val="20"/>
        </w:rPr>
      </w:pPr>
    </w:p>
    <w:p w:rsidR="002862A0" w:rsidRPr="002862A0" w:rsidRDefault="002862A0" w:rsidP="002862A0">
      <w:pPr>
        <w:spacing w:before="120" w:after="60" w:line="240" w:lineRule="auto"/>
        <w:jc w:val="both"/>
        <w:rPr>
          <w:rFonts w:eastAsia="Times New Roman" w:cs="Arial"/>
          <w:b/>
          <w:sz w:val="20"/>
          <w:szCs w:val="20"/>
        </w:rPr>
      </w:pPr>
      <w:r w:rsidRPr="002862A0">
        <w:rPr>
          <w:rFonts w:eastAsia="Times New Roman" w:cs="Arial"/>
          <w:b/>
          <w:sz w:val="20"/>
          <w:szCs w:val="20"/>
        </w:rPr>
        <w:t>Transformátory</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 xml:space="preserve">Při napájení ze sítě 110kV je možno využít buď dvoustupňovou transformaci (3x110kV / 3x22kV a 1x22kV / 1x27kV) nebo jednostupňovou transformaci (3x110kV / 3x27kV). Přitom je však nutno respektovat, že v případě interního systému 3x27kV se nejedná o izolovanou soustavu (jak je obvyklé u soustavy 3 x 22 kV), ani o soustavu s uzemněným středem, nýbrž o soustavu s uzemněným pracovním vodičem (fází) o napětí 27 / √3 = 16kV. Na ostatních neuzemněných fázích bude sdružené napětí 27kV proti kostře. Tento způsob provozování třífázové soustavy odpovídá síti TN – viz. ČSN 33 2000-1 ed.2 - příloha A - obr. A.31A2 , ale není na SŽDC ještě zaveden a je potřeba jej posoudit odbornými složkami – zejména OAE a TÚDC. Rovněž je nutno ještě zajistit </w:t>
      </w:r>
      <w:r w:rsidRPr="002862A0">
        <w:rPr>
          <w:rFonts w:eastAsia="Times New Roman" w:cs="Arial"/>
          <w:sz w:val="20"/>
          <w:szCs w:val="20"/>
        </w:rPr>
        <w:lastRenderedPageBreak/>
        <w:t>vyjádření výrobce rozvaděčů, jestli izolace fází vůči kostře ve standardním rozvaděči 35 kV odpovídá napětí minimálně 27kV (toto sdružené napětí bude oproti zemi (kostře) na neuzemněných fázích).</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Výhodou dvoustupňové transformace je sice při přestavbě původních DC napájecích stanic možnost využití současných transformátorů 3x110kV / 3x22kV a současných rozvoden 22kV včetně napájení vlastní i vedlejší spotřeby, ale zásadní nevýhodou je dvojí transformace napětí a především větší rozměry (náročnost na plochu při umístění zvyšovacího transformátoru 1x22kV / 1x27kV). Proto dále uvažujeme pouze s jednostupňovou transformací.</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Při přestavbu původních DC napájecích stanic připojených k distribuční síti 22 kV lze použít obdobné řešení (pouze se zvyšovacím 2x22 kV / 1x27 kV).</w:t>
      </w:r>
    </w:p>
    <w:p w:rsidR="002862A0" w:rsidRPr="002862A0" w:rsidRDefault="002862A0" w:rsidP="002862A0">
      <w:pPr>
        <w:spacing w:after="120" w:line="240" w:lineRule="auto"/>
        <w:ind w:firstLine="284"/>
        <w:jc w:val="both"/>
        <w:rPr>
          <w:rFonts w:eastAsia="Times New Roman" w:cs="Arial"/>
          <w:sz w:val="20"/>
          <w:szCs w:val="20"/>
        </w:rPr>
      </w:pPr>
      <w:r w:rsidRPr="002862A0">
        <w:rPr>
          <w:rFonts w:eastAsia="Times New Roman" w:cs="Arial"/>
          <w:sz w:val="20"/>
          <w:szCs w:val="20"/>
        </w:rPr>
        <w:t>V souvislosti s přestavbou stávajících stejnosměrných napájecích stanic 3kV na střídavé napájecí stanice 25kV lze uvažovat s využitím následujících schémat napájení jednak podle vstupního napětí z distribuční sítě a dále podle potřeby vnitřní redundance, která vychází z energetických výpočtů a využití napájecí stanice v dané oblasti.</w:t>
      </w:r>
    </w:p>
    <w:p w:rsidR="002862A0" w:rsidRPr="002862A0" w:rsidRDefault="002862A0" w:rsidP="002862A0">
      <w:pPr>
        <w:spacing w:after="0" w:line="240" w:lineRule="auto"/>
        <w:jc w:val="both"/>
        <w:rPr>
          <w:rFonts w:eastAsia="Times New Roman" w:cs="Arial"/>
          <w:sz w:val="20"/>
          <w:szCs w:val="20"/>
        </w:rPr>
      </w:pPr>
    </w:p>
    <w:p w:rsidR="002862A0" w:rsidRDefault="002862A0">
      <w:pPr>
        <w:rPr>
          <w:rFonts w:eastAsiaTheme="minorHAnsi" w:cs="Arial"/>
          <w:sz w:val="20"/>
          <w:lang w:eastAsia="en-US"/>
        </w:rPr>
      </w:pPr>
      <w:r>
        <w:rPr>
          <w:rFonts w:eastAsiaTheme="minorHAnsi" w:cs="Arial"/>
          <w:sz w:val="20"/>
          <w:lang w:eastAsia="en-US"/>
        </w:rPr>
        <w:br w:type="page"/>
      </w:r>
    </w:p>
    <w:p w:rsidR="002862A0" w:rsidRPr="002862A0" w:rsidRDefault="002862A0" w:rsidP="002862A0">
      <w:pPr>
        <w:numPr>
          <w:ilvl w:val="0"/>
          <w:numId w:val="32"/>
        </w:numPr>
        <w:spacing w:before="120" w:after="0" w:line="240" w:lineRule="auto"/>
        <w:contextualSpacing/>
        <w:jc w:val="both"/>
        <w:rPr>
          <w:rFonts w:eastAsiaTheme="minorHAnsi" w:cs="Arial"/>
          <w:sz w:val="20"/>
          <w:lang w:eastAsia="en-US"/>
        </w:rPr>
      </w:pPr>
      <w:r w:rsidRPr="002862A0">
        <w:rPr>
          <w:rFonts w:eastAsiaTheme="minorHAnsi" w:cs="Arial"/>
          <w:sz w:val="20"/>
          <w:lang w:eastAsia="en-US"/>
        </w:rPr>
        <w:lastRenderedPageBreak/>
        <w:t xml:space="preserve">Napájení z rozvodu 110kV – zde jsou uvažovány tři varianty přestavby napájecí stanice. </w:t>
      </w: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t>Všechny tyto varianty se dále mohou lišit výkonem napájecích transformátorů a balancérů</w:t>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t>Varianta I – pouze jeden transformátor 110/27kV a jeden balancér</w:t>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noProof/>
          <w:sz w:val="20"/>
        </w:rPr>
        <w:drawing>
          <wp:inline distT="0" distB="0" distL="0" distR="0" wp14:anchorId="04C3A38F" wp14:editId="60664FBB">
            <wp:extent cx="5382255" cy="6577533"/>
            <wp:effectExtent l="19050" t="0" r="8895" b="0"/>
            <wp:docPr id="11" name="obrázek 1" descr="S:\!Zakázky 2016\2016_013_Studie_prechod_25kV_16001\Podklady\Šimáček\Schémata\SCH_110_V_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Zakázky 2016\2016_013_Studie_prechod_25kV_16001\Podklady\Šimáček\Schémata\SCH_110_V_I.jpg"/>
                    <pic:cNvPicPr>
                      <a:picLocks noChangeAspect="1" noChangeArrowheads="1"/>
                    </pic:cNvPicPr>
                  </pic:nvPicPr>
                  <pic:blipFill>
                    <a:blip r:embed="rId10" cstate="print"/>
                    <a:srcRect/>
                    <a:stretch>
                      <a:fillRect/>
                    </a:stretch>
                  </pic:blipFill>
                  <pic:spPr bwMode="auto">
                    <a:xfrm>
                      <a:off x="0" y="0"/>
                      <a:ext cx="5382105" cy="6577350"/>
                    </a:xfrm>
                    <a:prstGeom prst="rect">
                      <a:avLst/>
                    </a:prstGeom>
                    <a:noFill/>
                    <a:ln w="9525">
                      <a:noFill/>
                      <a:miter lim="800000"/>
                      <a:headEnd/>
                      <a:tailEnd/>
                    </a:ln>
                  </pic:spPr>
                </pic:pic>
              </a:graphicData>
            </a:graphic>
          </wp:inline>
        </w:drawing>
      </w:r>
    </w:p>
    <w:p w:rsidR="002862A0" w:rsidRPr="002862A0" w:rsidRDefault="002862A0" w:rsidP="002862A0">
      <w:pPr>
        <w:ind w:left="720"/>
        <w:contextualSpacing/>
        <w:rPr>
          <w:rFonts w:eastAsiaTheme="minorHAnsi" w:cs="Arial"/>
          <w:sz w:val="20"/>
          <w:lang w:eastAsia="en-US"/>
        </w:rPr>
      </w:pPr>
    </w:p>
    <w:p w:rsidR="002862A0" w:rsidRDefault="002862A0">
      <w:pPr>
        <w:rPr>
          <w:rFonts w:eastAsiaTheme="minorHAnsi" w:cs="Arial"/>
          <w:sz w:val="20"/>
          <w:lang w:eastAsia="en-US"/>
        </w:rPr>
      </w:pPr>
      <w:r>
        <w:rPr>
          <w:rFonts w:eastAsiaTheme="minorHAnsi" w:cs="Arial"/>
          <w:sz w:val="20"/>
          <w:lang w:eastAsia="en-US"/>
        </w:rPr>
        <w:br w:type="page"/>
      </w: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lastRenderedPageBreak/>
        <w:t>Varianta II – dva transformátory 110/27kV a jeden balancér</w:t>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noProof/>
          <w:sz w:val="20"/>
        </w:rPr>
        <w:drawing>
          <wp:inline distT="0" distB="0" distL="0" distR="0" wp14:anchorId="500DAE45" wp14:editId="37E37824">
            <wp:extent cx="5029360" cy="6998935"/>
            <wp:effectExtent l="19050" t="0" r="0" b="0"/>
            <wp:docPr id="12" name="obrázek 2" descr="S:\!Zakázky 2016\2016_013_Studie_prechod_25kV_16001\Podklady\Šimáček\Schémata\SCH_110_V_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Zakázky 2016\2016_013_Studie_prechod_25kV_16001\Podklady\Šimáček\Schémata\SCH_110_V_II.jpg"/>
                    <pic:cNvPicPr>
                      <a:picLocks noChangeAspect="1" noChangeArrowheads="1"/>
                    </pic:cNvPicPr>
                  </pic:nvPicPr>
                  <pic:blipFill>
                    <a:blip r:embed="rId11" cstate="print"/>
                    <a:srcRect/>
                    <a:stretch>
                      <a:fillRect/>
                    </a:stretch>
                  </pic:blipFill>
                  <pic:spPr bwMode="auto">
                    <a:xfrm>
                      <a:off x="0" y="0"/>
                      <a:ext cx="5030101" cy="6999966"/>
                    </a:xfrm>
                    <a:prstGeom prst="rect">
                      <a:avLst/>
                    </a:prstGeom>
                    <a:noFill/>
                    <a:ln w="9525">
                      <a:noFill/>
                      <a:miter lim="800000"/>
                      <a:headEnd/>
                      <a:tailEnd/>
                    </a:ln>
                  </pic:spPr>
                </pic:pic>
              </a:graphicData>
            </a:graphic>
          </wp:inline>
        </w:drawing>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t>Varianta III – dva transformátory 110/27kV a dva balancéry</w:t>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noProof/>
          <w:sz w:val="20"/>
        </w:rPr>
        <w:drawing>
          <wp:inline distT="0" distB="0" distL="0" distR="0" wp14:anchorId="2C84C636" wp14:editId="7CB4C3E1">
            <wp:extent cx="5498086" cy="7707086"/>
            <wp:effectExtent l="19050" t="0" r="7364" b="0"/>
            <wp:docPr id="13" name="obrázek 3" descr="S:\!Zakázky 2016\2016_013_Studie_prechod_25kV_16001\Podklady\Šimáček\Schémata\SCH_110_V_I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Zakázky 2016\2016_013_Studie_prechod_25kV_16001\Podklady\Šimáček\Schémata\SCH_110_V_III.jpg"/>
                    <pic:cNvPicPr>
                      <a:picLocks noChangeAspect="1" noChangeArrowheads="1"/>
                    </pic:cNvPicPr>
                  </pic:nvPicPr>
                  <pic:blipFill>
                    <a:blip r:embed="rId12" cstate="print"/>
                    <a:srcRect/>
                    <a:stretch>
                      <a:fillRect/>
                    </a:stretch>
                  </pic:blipFill>
                  <pic:spPr bwMode="auto">
                    <a:xfrm>
                      <a:off x="0" y="0"/>
                      <a:ext cx="5497938" cy="7706879"/>
                    </a:xfrm>
                    <a:prstGeom prst="rect">
                      <a:avLst/>
                    </a:prstGeom>
                    <a:noFill/>
                    <a:ln w="9525">
                      <a:noFill/>
                      <a:miter lim="800000"/>
                      <a:headEnd/>
                      <a:tailEnd/>
                    </a:ln>
                  </pic:spPr>
                </pic:pic>
              </a:graphicData>
            </a:graphic>
          </wp:inline>
        </w:drawing>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numPr>
          <w:ilvl w:val="0"/>
          <w:numId w:val="32"/>
        </w:numPr>
        <w:spacing w:before="120" w:after="0" w:line="240" w:lineRule="auto"/>
        <w:contextualSpacing/>
        <w:jc w:val="both"/>
        <w:rPr>
          <w:rFonts w:eastAsiaTheme="minorHAnsi" w:cs="Arial"/>
          <w:sz w:val="20"/>
          <w:lang w:eastAsia="en-US"/>
        </w:rPr>
      </w:pPr>
      <w:r w:rsidRPr="002862A0">
        <w:rPr>
          <w:rFonts w:eastAsiaTheme="minorHAnsi" w:cs="Arial"/>
          <w:sz w:val="20"/>
          <w:lang w:eastAsia="en-US"/>
        </w:rPr>
        <w:t xml:space="preserve">Napájení z rozvodu 22kV – zde jsou uvažovány dvě varianty přestavby napájecí stanice. </w:t>
      </w:r>
    </w:p>
    <w:p w:rsidR="002862A0" w:rsidRPr="002862A0" w:rsidRDefault="002862A0" w:rsidP="002862A0">
      <w:pPr>
        <w:numPr>
          <w:ilvl w:val="0"/>
          <w:numId w:val="32"/>
        </w:numPr>
        <w:spacing w:before="120" w:after="0" w:line="240" w:lineRule="auto"/>
        <w:contextualSpacing/>
        <w:jc w:val="both"/>
        <w:rPr>
          <w:rFonts w:eastAsiaTheme="minorHAnsi" w:cs="Arial"/>
          <w:sz w:val="20"/>
          <w:lang w:eastAsia="en-US"/>
        </w:rPr>
      </w:pPr>
      <w:r w:rsidRPr="002862A0">
        <w:rPr>
          <w:rFonts w:eastAsiaTheme="minorHAnsi" w:cs="Arial"/>
          <w:sz w:val="20"/>
          <w:lang w:eastAsia="en-US"/>
        </w:rPr>
        <w:t>Obě tyto varianty jsou uvažovány vzhledem k možnosti využitelnosti výkonu v napájecí distribuční síti pouze s jedním výkonem transformátorů 22/27kV, 12,5MVA</w:t>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t>Varianta I – pouze jeden transformátor 22/27kV a jeden balancér</w:t>
      </w:r>
    </w:p>
    <w:p w:rsidR="002862A0" w:rsidRPr="002862A0" w:rsidRDefault="002862A0" w:rsidP="002862A0">
      <w:pPr>
        <w:ind w:left="720"/>
        <w:contextualSpacing/>
        <w:rPr>
          <w:rFonts w:eastAsiaTheme="minorHAnsi" w:cs="Arial"/>
          <w:sz w:val="20"/>
          <w:lang w:eastAsia="en-US"/>
        </w:rPr>
      </w:pPr>
      <w:r w:rsidRPr="002862A0">
        <w:rPr>
          <w:rFonts w:eastAsiaTheme="minorHAnsi" w:cs="Arial"/>
          <w:noProof/>
          <w:sz w:val="20"/>
        </w:rPr>
        <w:drawing>
          <wp:inline distT="0" distB="0" distL="0" distR="0" wp14:anchorId="3DCB8CC5" wp14:editId="44E428F9">
            <wp:extent cx="5444298" cy="7330568"/>
            <wp:effectExtent l="19050" t="0" r="4002" b="0"/>
            <wp:docPr id="16" name="obrázek 4" descr="S:\!Zakázky 2016\2016_013_Studie_prechod_25kV_16001\Podklady\Šimáček\Schémata\SCH_22_V_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Zakázky 2016\2016_013_Studie_prechod_25kV_16001\Podklady\Šimáček\Schémata\SCH_22_V_I.jpg"/>
                    <pic:cNvPicPr>
                      <a:picLocks noChangeAspect="1" noChangeArrowheads="1"/>
                    </pic:cNvPicPr>
                  </pic:nvPicPr>
                  <pic:blipFill>
                    <a:blip r:embed="rId13" cstate="print"/>
                    <a:srcRect/>
                    <a:stretch>
                      <a:fillRect/>
                    </a:stretch>
                  </pic:blipFill>
                  <pic:spPr bwMode="auto">
                    <a:xfrm>
                      <a:off x="0" y="0"/>
                      <a:ext cx="5444151" cy="7330370"/>
                    </a:xfrm>
                    <a:prstGeom prst="rect">
                      <a:avLst/>
                    </a:prstGeom>
                    <a:noFill/>
                    <a:ln w="9525">
                      <a:noFill/>
                      <a:miter lim="800000"/>
                      <a:headEnd/>
                      <a:tailEnd/>
                    </a:ln>
                  </pic:spPr>
                </pic:pic>
              </a:graphicData>
            </a:graphic>
          </wp:inline>
        </w:drawing>
      </w: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p>
    <w:p w:rsidR="002862A0" w:rsidRPr="002862A0" w:rsidRDefault="002862A0" w:rsidP="002862A0">
      <w:pPr>
        <w:ind w:left="720"/>
        <w:contextualSpacing/>
        <w:rPr>
          <w:rFonts w:eastAsiaTheme="minorHAnsi" w:cs="Arial"/>
          <w:sz w:val="20"/>
          <w:lang w:eastAsia="en-US"/>
        </w:rPr>
      </w:pPr>
      <w:r w:rsidRPr="002862A0">
        <w:rPr>
          <w:rFonts w:eastAsiaTheme="minorHAnsi" w:cs="Arial"/>
          <w:sz w:val="20"/>
          <w:lang w:eastAsia="en-US"/>
        </w:rPr>
        <w:t>Varianta II – dva transformátory 22/27kV a dva balancéry</w:t>
      </w:r>
    </w:p>
    <w:p w:rsidR="00676CAD" w:rsidRPr="002862A0" w:rsidRDefault="002862A0" w:rsidP="002862A0">
      <w:pPr>
        <w:spacing w:after="0" w:line="240" w:lineRule="auto"/>
        <w:ind w:firstLine="709"/>
        <w:jc w:val="both"/>
        <w:rPr>
          <w:b/>
        </w:rPr>
      </w:pPr>
      <w:r w:rsidRPr="002862A0">
        <w:rPr>
          <w:rFonts w:eastAsia="Times New Roman" w:cs="Arial"/>
          <w:noProof/>
          <w:sz w:val="20"/>
          <w:szCs w:val="20"/>
        </w:rPr>
        <w:drawing>
          <wp:inline distT="0" distB="0" distL="0" distR="0" wp14:anchorId="19F7825D" wp14:editId="4750E787">
            <wp:extent cx="5490401" cy="7753190"/>
            <wp:effectExtent l="19050" t="0" r="0" b="0"/>
            <wp:docPr id="17" name="obrázek 5" descr="S:\!Zakázky 2016\2016_013_Studie_prechod_25kV_16001\Podklady\Šimáček\Schémata\SCH_22_V_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Zakázky 2016\2016_013_Studie_prechod_25kV_16001\Podklady\Šimáček\Schémata\SCH_22_V_II.jpg"/>
                    <pic:cNvPicPr>
                      <a:picLocks noChangeAspect="1" noChangeArrowheads="1"/>
                    </pic:cNvPicPr>
                  </pic:nvPicPr>
                  <pic:blipFill>
                    <a:blip r:embed="rId14" cstate="print"/>
                    <a:srcRect/>
                    <a:stretch>
                      <a:fillRect/>
                    </a:stretch>
                  </pic:blipFill>
                  <pic:spPr bwMode="auto">
                    <a:xfrm>
                      <a:off x="0" y="0"/>
                      <a:ext cx="5490254" cy="7752982"/>
                    </a:xfrm>
                    <a:prstGeom prst="rect">
                      <a:avLst/>
                    </a:prstGeom>
                    <a:noFill/>
                    <a:ln w="9525">
                      <a:noFill/>
                      <a:miter lim="800000"/>
                      <a:headEnd/>
                      <a:tailEnd/>
                    </a:ln>
                  </pic:spPr>
                </pic:pic>
              </a:graphicData>
            </a:graphic>
          </wp:inline>
        </w:drawing>
      </w:r>
      <w:r w:rsidR="00676CAD" w:rsidRPr="002862A0">
        <w:rPr>
          <w:b/>
        </w:rPr>
        <w:br w:type="page"/>
      </w:r>
    </w:p>
    <w:p w:rsidR="00676CAD" w:rsidRPr="009A0505" w:rsidRDefault="00676CAD" w:rsidP="00676CAD">
      <w:pPr>
        <w:pStyle w:val="Nadpis1"/>
        <w:ind w:left="720"/>
      </w:pPr>
      <w:bookmarkStart w:id="22" w:name="_Toc456957688"/>
      <w:r w:rsidRPr="009A0505">
        <w:lastRenderedPageBreak/>
        <w:t>6.4 Železniční spodek a svršek</w:t>
      </w:r>
      <w:bookmarkEnd w:id="22"/>
    </w:p>
    <w:p w:rsidR="00676CAD" w:rsidRPr="009A0505" w:rsidRDefault="00676CAD" w:rsidP="00676CAD"/>
    <w:p w:rsidR="00676CAD" w:rsidRPr="009A0505" w:rsidRDefault="002862A0" w:rsidP="00531EB8">
      <w:pPr>
        <w:rPr>
          <w:highlight w:val="yellow"/>
        </w:rPr>
      </w:pPr>
      <w:r w:rsidRPr="009A0505">
        <w:t xml:space="preserve">V místech objektů, kde nelze realizovat úpravy TV podle bodu  je nutné </w:t>
      </w:r>
      <w:r w:rsidR="009A0505" w:rsidRPr="009A0505">
        <w:t>provést</w:t>
      </w:r>
      <w:r w:rsidRPr="009A0505">
        <w:t xml:space="preserve"> úpravy železničního spodku a svršku. V investičních nákladech je počítáno s předpokládanou úpravou každé koleje pod objektem v délce cca 1000m. Pokud </w:t>
      </w:r>
      <w:r w:rsidR="00531EB8" w:rsidRPr="009A0505">
        <w:t xml:space="preserve"> nebude technicky možné zajistit úpravu koleje v potřebném rozsahu, přistoupí se současně i ke snížení minimálních výšek sestavy </w:t>
      </w:r>
      <w:r w:rsidR="009A0505" w:rsidRPr="009A0505">
        <w:t>TV.</w:t>
      </w:r>
      <w:r w:rsidR="009A0505">
        <w:t xml:space="preserve"> </w:t>
      </w:r>
      <w:r w:rsidR="00676CAD">
        <w:br w:type="page"/>
      </w:r>
    </w:p>
    <w:p w:rsidR="00676CAD" w:rsidRPr="009A0505" w:rsidRDefault="00676CAD" w:rsidP="00676CAD">
      <w:pPr>
        <w:pStyle w:val="Nadpis1"/>
        <w:ind w:left="720"/>
      </w:pPr>
      <w:bookmarkStart w:id="23" w:name="_Toc456957689"/>
      <w:r w:rsidRPr="009A0505">
        <w:lastRenderedPageBreak/>
        <w:t>6.5 Mosty</w:t>
      </w:r>
      <w:bookmarkEnd w:id="23"/>
    </w:p>
    <w:p w:rsidR="00676CAD" w:rsidRPr="009A0505" w:rsidRDefault="00676CAD" w:rsidP="00676CAD"/>
    <w:p w:rsidR="009C653E" w:rsidRPr="009A0505" w:rsidRDefault="009C653E" w:rsidP="00A05E04">
      <w:pPr>
        <w:rPr>
          <w:b/>
        </w:rPr>
      </w:pPr>
    </w:p>
    <w:p w:rsidR="009A0505" w:rsidRPr="009A0505" w:rsidRDefault="009A0505" w:rsidP="00531EB8">
      <w:r w:rsidRPr="009A0505">
        <w:t xml:space="preserve">V trakčním vedení se provedou úpravy </w:t>
      </w:r>
      <w:r w:rsidR="00531EB8" w:rsidRPr="009A0505">
        <w:t>průběhu systému TV</w:t>
      </w:r>
      <w:r w:rsidRPr="009A0505">
        <w:t xml:space="preserve"> a v případě nutnosti budou použity omezovače zdvihu. Tyto omezovače jsou umístěny na nosných konstrukcích mostů.</w:t>
      </w:r>
      <w:r w:rsidR="00531EB8" w:rsidRPr="009A0505">
        <w:t xml:space="preserve"> </w:t>
      </w:r>
      <w:r w:rsidRPr="009A0505">
        <w:t>S</w:t>
      </w:r>
      <w:r w:rsidR="00531EB8" w:rsidRPr="009A0505">
        <w:t xml:space="preserve"> omezením maximálního zdvihu nosného lana se předpokládá pod nadjezdy, kde jsou již umístěny, nebo je nutné nově osadit, izolované konstrukce pro omezení maximálního zdvihu nosného lana.</w:t>
      </w:r>
    </w:p>
    <w:p w:rsidR="00676CAD" w:rsidRDefault="009A0505" w:rsidP="00531EB8">
      <w:r w:rsidRPr="009A0505">
        <w:t>Stávající k</w:t>
      </w:r>
      <w:r w:rsidR="00531EB8" w:rsidRPr="009A0505">
        <w:t>onstrukce omezovač</w:t>
      </w:r>
      <w:r w:rsidRPr="009A0505">
        <w:t>ů</w:t>
      </w:r>
      <w:r w:rsidR="00531EB8" w:rsidRPr="009A0505">
        <w:t xml:space="preserve"> musí být upraven</w:t>
      </w:r>
      <w:r w:rsidRPr="009A0505">
        <w:t>y</w:t>
      </w:r>
      <w:r w:rsidR="00531EB8" w:rsidRPr="009A0505">
        <w:t xml:space="preserve"> na izolační stav soustavy AC 25kV 50Hz tak, aby bylo zamezeno přiblížení nosného lana nebo živé části konstrukce na vzdálenost menší než 150mm</w:t>
      </w:r>
      <w:r w:rsidR="00531EB8" w:rsidRPr="00531EB8">
        <w:t xml:space="preserve"> </w:t>
      </w:r>
      <w:r w:rsidR="00676CAD">
        <w:br w:type="page"/>
      </w:r>
    </w:p>
    <w:p w:rsidR="00676CAD" w:rsidRDefault="00676CAD" w:rsidP="00676CAD">
      <w:pPr>
        <w:pStyle w:val="Nadpis1"/>
        <w:ind w:left="720"/>
      </w:pPr>
      <w:bookmarkStart w:id="24" w:name="_Toc456957690"/>
      <w:r>
        <w:lastRenderedPageBreak/>
        <w:t>6.6 Trakční vedení</w:t>
      </w:r>
      <w:bookmarkEnd w:id="24"/>
    </w:p>
    <w:p w:rsidR="00676CAD" w:rsidRDefault="00676CAD" w:rsidP="00676CAD"/>
    <w:p w:rsidR="002862A0" w:rsidRDefault="002862A0" w:rsidP="002862A0">
      <w:pPr>
        <w:pStyle w:val="Nadpis3"/>
      </w:pPr>
      <w:bookmarkStart w:id="25" w:name="_Toc456957691"/>
      <w:r>
        <w:t>6.6.1 Popis a postup řešení TV</w:t>
      </w:r>
      <w:bookmarkEnd w:id="25"/>
      <w:r>
        <w:t xml:space="preserve"> </w:t>
      </w:r>
    </w:p>
    <w:p w:rsidR="002862A0" w:rsidRPr="002862A0" w:rsidRDefault="002862A0" w:rsidP="002862A0"/>
    <w:p w:rsidR="002862A0" w:rsidRDefault="002862A0" w:rsidP="002862A0">
      <w:r>
        <w:t xml:space="preserve">Práce na trakčním vedení (TV) pro realizaci přechodu na jednotnou trakční soustavu je možné řešit v následujících etapách: </w:t>
      </w:r>
    </w:p>
    <w:p w:rsidR="002862A0" w:rsidRDefault="002862A0" w:rsidP="002862A0">
      <w:pPr>
        <w:spacing w:after="0"/>
      </w:pPr>
      <w:r>
        <w:rPr>
          <w:b/>
        </w:rPr>
        <w:t xml:space="preserve">ETAPA 1 </w:t>
      </w:r>
      <w:r>
        <w:t xml:space="preserve">- </w:t>
      </w:r>
      <w:r w:rsidRPr="00C32CD1">
        <w:rPr>
          <w:b/>
        </w:rPr>
        <w:t>změn</w:t>
      </w:r>
      <w:r>
        <w:rPr>
          <w:b/>
        </w:rPr>
        <w:t>a</w:t>
      </w:r>
      <w:r w:rsidRPr="00C32CD1">
        <w:rPr>
          <w:b/>
        </w:rPr>
        <w:t xml:space="preserve"> izolačního stavu trolejových veden</w:t>
      </w:r>
      <w:r>
        <w:rPr>
          <w:b/>
        </w:rPr>
        <w:t xml:space="preserve">í pro navrhovanou hladinu 25kV   </w:t>
      </w:r>
      <w:r>
        <w:t>při zachování proudové odolnosti trolejových vedení ve stávající soustavě DC 3kV. V tomto případě se jedná o provádění výměn izolátorů v závěsech a konzolách trolejových vedení, u kotvení sestav, pevných bodů atd,</w:t>
      </w:r>
      <w:r w:rsidRPr="00F04EB6">
        <w:t xml:space="preserve"> </w:t>
      </w:r>
      <w:r>
        <w:t xml:space="preserve">v předstihu. Dále je nutné provést úpravy TV pro dodržení izolačních vzdušných vzdáleností mezi živými částmi TV a objekty spojenými se zemí (nadjezdy, lávky atd.) podle ČSN EN 50119ed.2 čl.5.1.3 a z toho odvozených zásad. Zejména v železničních stanicích a odbočkách se počítá s výměnou úsekových děličů a odpojovačů za nové. Konstrukce nových děličů a odpojovačů musí vyhovovat pro napětí trakční soustavy 25kV a současně i odolností přístrojů pro proudy stávající DC soustavy. </w:t>
      </w:r>
    </w:p>
    <w:p w:rsidR="002862A0" w:rsidRDefault="002862A0" w:rsidP="002862A0">
      <w:pPr>
        <w:spacing w:after="0"/>
      </w:pPr>
      <w:r>
        <w:t>V této etapě se předpokládá i montáž nových bleskojistek nebo omezovačů přepětí pro střídavou AC soustavu 25kV 50Hz s připojením na TV podle ČSN 34 1500ed.2 tak, že současně zůstane funkční stávající ochrana před atmosférickým přepětím trakční soustavy DC 3kV a to až do změny napájení TV  řešené v etapě 3.</w:t>
      </w:r>
    </w:p>
    <w:p w:rsidR="002862A0" w:rsidRDefault="002862A0" w:rsidP="002862A0">
      <w:pPr>
        <w:spacing w:before="120" w:after="120"/>
        <w:rPr>
          <w:b/>
        </w:rPr>
      </w:pPr>
      <w:r w:rsidRPr="009E7D9C">
        <w:rPr>
          <w:b/>
        </w:rPr>
        <w:t>Úpravy trolejových veden</w:t>
      </w:r>
      <w:r>
        <w:rPr>
          <w:b/>
        </w:rPr>
        <w:t>í</w:t>
      </w:r>
      <w:r w:rsidRPr="009E7D9C">
        <w:rPr>
          <w:b/>
        </w:rPr>
        <w:t xml:space="preserve"> v místech nadjezdů a lávek</w:t>
      </w:r>
      <w:r>
        <w:rPr>
          <w:b/>
        </w:rPr>
        <w:t xml:space="preserve">. </w:t>
      </w:r>
    </w:p>
    <w:p w:rsidR="002862A0" w:rsidRDefault="002862A0" w:rsidP="002862A0">
      <w:pPr>
        <w:spacing w:after="0"/>
      </w:pPr>
      <w:r>
        <w:t>Podle výšek stávajících objektů</w:t>
      </w:r>
      <w:r>
        <w:rPr>
          <w:b/>
        </w:rPr>
        <w:t xml:space="preserve"> </w:t>
      </w:r>
      <w:r w:rsidRPr="00025713">
        <w:t xml:space="preserve">nad </w:t>
      </w:r>
      <w:r w:rsidRPr="00F04EB6">
        <w:t>kolejemi lze</w:t>
      </w:r>
      <w:r>
        <w:t xml:space="preserve"> řešení úprav TV</w:t>
      </w:r>
      <w:r>
        <w:rPr>
          <w:b/>
        </w:rPr>
        <w:t xml:space="preserve"> </w:t>
      </w:r>
      <w:r w:rsidRPr="009E7D9C">
        <w:t>rozděl</w:t>
      </w:r>
      <w:r>
        <w:t>it</w:t>
      </w:r>
      <w:r w:rsidRPr="009E7D9C">
        <w:t xml:space="preserve"> </w:t>
      </w:r>
      <w:r>
        <w:t xml:space="preserve">takto: </w:t>
      </w:r>
    </w:p>
    <w:p w:rsidR="002862A0" w:rsidRDefault="002862A0" w:rsidP="002862A0">
      <w:pPr>
        <w:numPr>
          <w:ilvl w:val="0"/>
          <w:numId w:val="34"/>
        </w:numPr>
        <w:spacing w:after="0" w:line="288" w:lineRule="auto"/>
        <w:jc w:val="both"/>
      </w:pPr>
      <w:r>
        <w:rPr>
          <w:b/>
        </w:rPr>
        <w:t>B</w:t>
      </w:r>
      <w:r w:rsidRPr="009E7D9C">
        <w:rPr>
          <w:b/>
        </w:rPr>
        <w:t>ez úpravy TV</w:t>
      </w:r>
      <w:r>
        <w:t xml:space="preserve"> vyhovují objekty, jejichž vzdálenost od nosného lana trolejového vedení je 600mm nebo větší a žádná část objektu nezasahuje do prostoru ohrožení trolejovým vedením (POTV) podle ČSN 34 1500ed.2 příloha A.</w:t>
      </w:r>
    </w:p>
    <w:p w:rsidR="002862A0" w:rsidRDefault="002862A0" w:rsidP="002862A0">
      <w:pPr>
        <w:numPr>
          <w:ilvl w:val="0"/>
          <w:numId w:val="34"/>
        </w:numPr>
        <w:spacing w:after="0" w:line="288" w:lineRule="auto"/>
        <w:jc w:val="both"/>
      </w:pPr>
      <w:r>
        <w:rPr>
          <w:b/>
        </w:rPr>
        <w:t>Ú</w:t>
      </w:r>
      <w:r w:rsidRPr="009E7D9C">
        <w:rPr>
          <w:b/>
        </w:rPr>
        <w:t>prava volného průběhu systému TV</w:t>
      </w:r>
      <w:r>
        <w:t xml:space="preserve"> v místě objektu, který se ve stávajícím stavu nachází mimo prostor POTV. Objekt není ukolejněn a nosné lano je ve vzdálenosti 400mm. V tomto případě je nutné posoudit, zda objekt je možné ukolejnit a průběh nosného lana upravit na vzdálenost 500mm (300+200mm), nebo upravit průběh nosného lana na vzdálenost 600mm bez nutnosti ukolejnění stávajícího objektu. Pro případy volného průběhu trolejového vedení platí podmínka minimální výšky sestavy v poli (minimální délka věšáku je stanovena na 250mm), výšky troleje 5,50m nTK , případně snížené výšky troleje do minimální hodnoty 5,20m nTK (pro tuto variantu řešení).</w:t>
      </w:r>
    </w:p>
    <w:p w:rsidR="002862A0" w:rsidRDefault="002862A0" w:rsidP="002862A0">
      <w:pPr>
        <w:numPr>
          <w:ilvl w:val="0"/>
          <w:numId w:val="34"/>
        </w:numPr>
        <w:spacing w:after="120" w:line="288" w:lineRule="auto"/>
        <w:ind w:left="714" w:hanging="357"/>
        <w:jc w:val="both"/>
      </w:pPr>
      <w:r>
        <w:rPr>
          <w:b/>
        </w:rPr>
        <w:t xml:space="preserve">Úprava volného </w:t>
      </w:r>
      <w:r w:rsidRPr="009E7D9C">
        <w:rPr>
          <w:b/>
        </w:rPr>
        <w:t>průběh</w:t>
      </w:r>
      <w:r>
        <w:rPr>
          <w:b/>
        </w:rPr>
        <w:t>u</w:t>
      </w:r>
      <w:r w:rsidRPr="009E7D9C">
        <w:rPr>
          <w:b/>
        </w:rPr>
        <w:t xml:space="preserve"> systému TV s omezením </w:t>
      </w:r>
      <w:r>
        <w:rPr>
          <w:b/>
        </w:rPr>
        <w:t xml:space="preserve">maximálního </w:t>
      </w:r>
      <w:r w:rsidRPr="009E7D9C">
        <w:rPr>
          <w:b/>
        </w:rPr>
        <w:t xml:space="preserve">zdvihu nosného lana </w:t>
      </w:r>
      <w:r w:rsidRPr="009E7D9C">
        <w:t>se</w:t>
      </w:r>
      <w:r>
        <w:rPr>
          <w:b/>
        </w:rPr>
        <w:t xml:space="preserve"> </w:t>
      </w:r>
      <w:r w:rsidRPr="009E7D9C">
        <w:t xml:space="preserve">předpokládá </w:t>
      </w:r>
      <w:r>
        <w:t>pod nadjezdy, kde jsou již umístěny, nebo je nutné nově osadit, izolované konstrukce pro omezení maximálního zdvihu nosného lana. Předpokládaná výška troleje je 5,20m minimálně 5,10m nTK, s minimální výškou sestavy v poli 250mm a statická vzdálenost nosného lana od objektu je 300mm. Konstrukce omezovače musí být upravena na izolační stav soustavy AC 25kV 50Hz tak, aby bylo zamezeno přiblížení nosného lana nebo živé části konstrukce na vzdálenost menší než 150mm podle ČSN EN 50119ed.2 čl.5.1.3. viz obrázek č.2</w:t>
      </w:r>
    </w:p>
    <w:p w:rsidR="002862A0" w:rsidRDefault="002862A0" w:rsidP="002862A0">
      <w:pPr>
        <w:spacing w:after="0"/>
        <w:ind w:left="357"/>
      </w:pPr>
    </w:p>
    <w:p w:rsidR="002862A0" w:rsidRDefault="002862A0" w:rsidP="002862A0">
      <w:pPr>
        <w:spacing w:before="120" w:after="0"/>
        <w:ind w:left="720"/>
        <w:rPr>
          <w:b/>
        </w:rPr>
      </w:pPr>
      <w:r>
        <w:rPr>
          <w:b/>
        </w:rPr>
        <w:t>Obrázek č.1 Stávající průběh TV pro soustavu DC 3kV</w:t>
      </w:r>
    </w:p>
    <w:p w:rsidR="002862A0" w:rsidRDefault="002862A0" w:rsidP="002862A0">
      <w:pPr>
        <w:spacing w:after="0"/>
        <w:ind w:left="720"/>
      </w:pPr>
      <w:r>
        <w:rPr>
          <w:noProof/>
        </w:rPr>
        <w:drawing>
          <wp:anchor distT="0" distB="0" distL="114300" distR="114300" simplePos="0" relativeHeight="251659264" behindDoc="0" locked="0" layoutInCell="1" allowOverlap="1" wp14:anchorId="7C8CEF6A" wp14:editId="45C9A932">
            <wp:simplePos x="0" y="0"/>
            <wp:positionH relativeFrom="margin">
              <wp:posOffset>15875</wp:posOffset>
            </wp:positionH>
            <wp:positionV relativeFrom="margin">
              <wp:posOffset>604520</wp:posOffset>
            </wp:positionV>
            <wp:extent cx="5684520" cy="7832725"/>
            <wp:effectExtent l="0" t="0" r="0" b="0"/>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84520" cy="7832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62A0" w:rsidRDefault="002862A0" w:rsidP="002862A0">
      <w:pPr>
        <w:spacing w:after="0"/>
        <w:ind w:left="720"/>
      </w:pPr>
    </w:p>
    <w:p w:rsidR="002862A0" w:rsidRDefault="002862A0" w:rsidP="002862A0">
      <w:pPr>
        <w:spacing w:after="0"/>
        <w:ind w:left="720"/>
        <w:rPr>
          <w:b/>
        </w:rPr>
      </w:pPr>
      <w:r>
        <w:rPr>
          <w:b/>
        </w:rPr>
        <w:t>Obrázek č.2  Nový průběh TV pro soustavu AC 25kV 50Hz.</w:t>
      </w:r>
    </w:p>
    <w:p w:rsidR="002862A0" w:rsidRDefault="002862A0" w:rsidP="002862A0">
      <w:pPr>
        <w:spacing w:after="0"/>
        <w:ind w:left="720"/>
      </w:pPr>
      <w:r>
        <w:rPr>
          <w:b/>
          <w:noProof/>
        </w:rPr>
        <w:drawing>
          <wp:anchor distT="0" distB="0" distL="114300" distR="114300" simplePos="0" relativeHeight="251660288" behindDoc="0" locked="0" layoutInCell="1" allowOverlap="1" wp14:anchorId="17893120" wp14:editId="052E4D3B">
            <wp:simplePos x="0" y="0"/>
            <wp:positionH relativeFrom="margin">
              <wp:align>left</wp:align>
            </wp:positionH>
            <wp:positionV relativeFrom="margin">
              <wp:align>center</wp:align>
            </wp:positionV>
            <wp:extent cx="5973445" cy="7720330"/>
            <wp:effectExtent l="0" t="0" r="8255" b="0"/>
            <wp:wrapSquare wrapText="bothSides"/>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80317" cy="77292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862A0" w:rsidRDefault="002862A0" w:rsidP="002862A0">
      <w:pPr>
        <w:spacing w:after="0"/>
        <w:ind w:left="720"/>
        <w:rPr>
          <w:b/>
        </w:rPr>
      </w:pPr>
    </w:p>
    <w:p w:rsidR="002862A0" w:rsidRDefault="002862A0" w:rsidP="002862A0">
      <w:pPr>
        <w:spacing w:after="0"/>
        <w:ind w:left="720"/>
        <w:rPr>
          <w:b/>
        </w:rPr>
      </w:pPr>
    </w:p>
    <w:p w:rsidR="002862A0" w:rsidRDefault="002862A0" w:rsidP="002862A0">
      <w:pPr>
        <w:spacing w:after="0"/>
        <w:ind w:left="720"/>
        <w:rPr>
          <w:b/>
        </w:rPr>
      </w:pPr>
    </w:p>
    <w:p w:rsidR="002862A0" w:rsidRDefault="002862A0" w:rsidP="002862A0">
      <w:pPr>
        <w:numPr>
          <w:ilvl w:val="0"/>
          <w:numId w:val="34"/>
        </w:numPr>
        <w:spacing w:after="120" w:line="288" w:lineRule="auto"/>
        <w:ind w:left="714" w:hanging="357"/>
        <w:jc w:val="both"/>
        <w:rPr>
          <w:b/>
        </w:rPr>
      </w:pPr>
      <w:r w:rsidRPr="009E7D9C">
        <w:rPr>
          <w:b/>
        </w:rPr>
        <w:t xml:space="preserve">Úprava </w:t>
      </w:r>
      <w:r>
        <w:rPr>
          <w:b/>
        </w:rPr>
        <w:t xml:space="preserve">železničního svršku a </w:t>
      </w:r>
      <w:r w:rsidRPr="009E7D9C">
        <w:rPr>
          <w:b/>
        </w:rPr>
        <w:t>průběhu systému</w:t>
      </w:r>
      <w:r w:rsidRPr="0012702F">
        <w:rPr>
          <w:b/>
        </w:rPr>
        <w:t xml:space="preserve"> </w:t>
      </w:r>
      <w:r w:rsidRPr="009E7D9C">
        <w:rPr>
          <w:b/>
        </w:rPr>
        <w:t xml:space="preserve">s omezením </w:t>
      </w:r>
      <w:r>
        <w:rPr>
          <w:b/>
        </w:rPr>
        <w:t xml:space="preserve">maximálního </w:t>
      </w:r>
      <w:r w:rsidRPr="009E7D9C">
        <w:rPr>
          <w:b/>
        </w:rPr>
        <w:t>zdvihu nosného lana</w:t>
      </w:r>
      <w:r>
        <w:rPr>
          <w:b/>
        </w:rPr>
        <w:t>.</w:t>
      </w:r>
    </w:p>
    <w:p w:rsidR="002862A0" w:rsidRDefault="002862A0" w:rsidP="002862A0">
      <w:pPr>
        <w:spacing w:after="0"/>
        <w:ind w:left="720"/>
      </w:pPr>
      <w:r>
        <w:rPr>
          <w:b/>
        </w:rPr>
        <w:t xml:space="preserve"> </w:t>
      </w:r>
      <w:r w:rsidRPr="009E7D9C">
        <w:t>V</w:t>
      </w:r>
      <w:r>
        <w:t> místech objektů, kde nelze realizovat úpravy TV podle bodu „c)“ je nutné přistoupit k prověření možnosti úpravy železničního spodku a svršku. V investičních nákladech je počítáno s předpokládanou úpravou každé koleje pod objektem v délce cca 1000m. Pokud nebude technicky možné zajistit úpravu koleje v potřebném rozsahu, přistoupí se současně i ke snížení minimálních výšek sestavy v poli pomocí netypových součástí, vložení dalších podpěr s netypovými konzolami, věšáky a podobně.</w:t>
      </w:r>
      <w:r w:rsidRPr="000A6CA6">
        <w:t xml:space="preserve"> </w:t>
      </w:r>
      <w:r>
        <w:t>Řešení průběhu TV bude pro výšku troleje minimálně 5,10m nTK s výškou sestavy v poli 250-150mm (minimálně až 68mm) při použití věšákové svorky s </w:t>
      </w:r>
      <w:r w:rsidRPr="00F04EB6">
        <w:t>kluzným uchycením nosného lana</w:t>
      </w:r>
      <w:r>
        <w:t>,</w:t>
      </w:r>
      <w:r w:rsidRPr="00F04EB6">
        <w:t xml:space="preserve"> při statické vzdálenosti nosného lana od objektu 300mm. Ve výjimečném případě jako je např. nadjezd v žst, Roudnice bude statická vzdálenost nosného lana snížena na 270mm a na </w:t>
      </w:r>
      <w:r>
        <w:t xml:space="preserve">stožárech u nadjezdu nebo na nadjezd </w:t>
      </w:r>
      <w:r w:rsidRPr="00F04EB6">
        <w:t>bude osazena konstrukce omezující přiblížení nosného lana k objektu na vzdálenost minimálně 150mm podle ČSN EN 50119ed</w:t>
      </w:r>
      <w:r>
        <w:t>.2 čl.5.1.3. viz obrázek č.3. V tomto případě se jedná o silniční ocelový nadjezd nad tratí a řekou Labe u něhož při modernizaci nebylo nalezeno řešení pro zvětšení podjezdné výšky ani v úpravě železničního spodku a svršku.</w:t>
      </w:r>
    </w:p>
    <w:p w:rsidR="002862A0" w:rsidRDefault="002862A0">
      <w:pPr>
        <w:rPr>
          <w:b/>
        </w:rPr>
      </w:pPr>
      <w:r>
        <w:rPr>
          <w:b/>
        </w:rPr>
        <w:br w:type="page"/>
      </w:r>
    </w:p>
    <w:p w:rsidR="002862A0" w:rsidRDefault="002862A0" w:rsidP="002862A0">
      <w:pPr>
        <w:spacing w:after="0"/>
        <w:ind w:firstLine="708"/>
        <w:rPr>
          <w:b/>
        </w:rPr>
      </w:pPr>
      <w:r>
        <w:rPr>
          <w:b/>
        </w:rPr>
        <w:lastRenderedPageBreak/>
        <w:t>Obrázek č.3</w:t>
      </w:r>
    </w:p>
    <w:p w:rsidR="002862A0" w:rsidRDefault="002862A0" w:rsidP="002862A0">
      <w:pPr>
        <w:spacing w:after="0"/>
      </w:pPr>
      <w:r>
        <w:rPr>
          <w:noProof/>
        </w:rPr>
        <w:drawing>
          <wp:inline distT="0" distB="0" distL="0" distR="0">
            <wp:extent cx="5803292" cy="5055079"/>
            <wp:effectExtent l="0" t="0" r="6985"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3505" cy="5055265"/>
                    </a:xfrm>
                    <a:prstGeom prst="rect">
                      <a:avLst/>
                    </a:prstGeom>
                    <a:noFill/>
                    <a:ln>
                      <a:noFill/>
                    </a:ln>
                  </pic:spPr>
                </pic:pic>
              </a:graphicData>
            </a:graphic>
          </wp:inline>
        </w:drawing>
      </w:r>
    </w:p>
    <w:p w:rsidR="002862A0" w:rsidRDefault="002862A0" w:rsidP="002862A0">
      <w:pPr>
        <w:spacing w:after="0"/>
      </w:pPr>
    </w:p>
    <w:p w:rsidR="002862A0" w:rsidRDefault="002862A0" w:rsidP="002862A0">
      <w:pPr>
        <w:numPr>
          <w:ilvl w:val="0"/>
          <w:numId w:val="34"/>
        </w:numPr>
        <w:spacing w:after="0" w:line="288" w:lineRule="auto"/>
        <w:jc w:val="both"/>
      </w:pPr>
      <w:r>
        <w:rPr>
          <w:b/>
        </w:rPr>
        <w:t>Mimořádně snížená výška troleje</w:t>
      </w:r>
      <w:r>
        <w:t>- v poslední řadě je možné se souhlasem SŽDC řešit průběh systému</w:t>
      </w:r>
      <w:r w:rsidRPr="0012702F">
        <w:rPr>
          <w:b/>
        </w:rPr>
        <w:t xml:space="preserve"> </w:t>
      </w:r>
      <w:r w:rsidRPr="0012702F">
        <w:t>s omezením maximálního zdvihu nosného lana</w:t>
      </w:r>
      <w:r>
        <w:t xml:space="preserve"> v poli pomocí netypových součástí, vložení dalších podpěr s netypovými konzolami, věšáky, řešení pomocí zdvojené troleje s rozdělením stávajícího kotevního úseku a podobně.</w:t>
      </w:r>
      <w:r w:rsidRPr="0012702F">
        <w:t xml:space="preserve"> </w:t>
      </w:r>
      <w:r>
        <w:t>Řešení průběhu TV bude pro mimořádně sníženou výšku troleje minimálně 5,00m nTK a pokud to bude možné s výškou sestavy v poli 250-150mm (případně až minimálně 68mm) při použití věšákové svorky s </w:t>
      </w:r>
      <w:r w:rsidRPr="00F04EB6">
        <w:t>kluzným uchycením nosného lana</w:t>
      </w:r>
      <w:r>
        <w:t xml:space="preserve"> a </w:t>
      </w:r>
      <w:r w:rsidRPr="00F04EB6">
        <w:t xml:space="preserve">statické vzdálenosti nosného lana od objektu 300mm. Ve výjimečném případě </w:t>
      </w:r>
      <w:r>
        <w:t>i se sníženou</w:t>
      </w:r>
      <w:r w:rsidRPr="00F04EB6">
        <w:t xml:space="preserve"> statick</w:t>
      </w:r>
      <w:r>
        <w:t>ou</w:t>
      </w:r>
      <w:r w:rsidRPr="00F04EB6">
        <w:t xml:space="preserve"> vzdálenost nosného lana na 270mm</w:t>
      </w:r>
      <w:r>
        <w:t>.</w:t>
      </w:r>
    </w:p>
    <w:p w:rsidR="002862A0" w:rsidRDefault="002862A0" w:rsidP="002862A0">
      <w:pPr>
        <w:spacing w:after="0"/>
      </w:pPr>
      <w:r>
        <w:t>Studie přechodu na jednotnou trakční soustavu nepočítá s  přestavbou stávajících nadjezdů.</w:t>
      </w:r>
    </w:p>
    <w:p w:rsidR="002862A0" w:rsidRDefault="002862A0" w:rsidP="002862A0">
      <w:pPr>
        <w:spacing w:after="0"/>
      </w:pPr>
      <w:r w:rsidRPr="009E7D9C">
        <w:t>Optimálním řešením</w:t>
      </w:r>
      <w:r>
        <w:t xml:space="preserve"> pro zajištění plynulosti realizace staveb „Přechodu na jednotnou trakční soustavu 25kV“ je řešit úpravy TV, úpravy kolejí a případné rekonstrukce stávajících mostních objektů v rámci samostatných investičních akcí. Pro realizaci těchto staveb je nutné stanovit výšku křížení podle ČSN 73 6201 a případně se souhlasem SŽDC řešit kompromisní minimální podjezdnou výšku odvozenou z průběhu TV</w:t>
      </w:r>
      <w:r w:rsidRPr="009E7D9C">
        <w:t xml:space="preserve"> </w:t>
      </w:r>
      <w:r>
        <w:t xml:space="preserve">podle parametrů uvedených v odstavci b). </w:t>
      </w:r>
    </w:p>
    <w:p w:rsidR="002862A0" w:rsidRDefault="002862A0" w:rsidP="002862A0">
      <w:pPr>
        <w:spacing w:after="0"/>
      </w:pPr>
      <w:r w:rsidRPr="009E7D9C">
        <w:t>Souhrnný seznam objektů je přiložen v samostatné kapitole</w:t>
      </w:r>
      <w:r>
        <w:t xml:space="preserve"> studie</w:t>
      </w:r>
      <w:r w:rsidRPr="009E7D9C">
        <w:t>.</w:t>
      </w:r>
    </w:p>
    <w:p w:rsidR="002862A0" w:rsidRPr="009E7D9C" w:rsidRDefault="002862A0" w:rsidP="002862A0">
      <w:pPr>
        <w:spacing w:before="120" w:after="120"/>
        <w:rPr>
          <w:b/>
        </w:rPr>
      </w:pPr>
      <w:r w:rsidRPr="009E7D9C">
        <w:rPr>
          <w:b/>
        </w:rPr>
        <w:lastRenderedPageBreak/>
        <w:t>Řešení úpr</w:t>
      </w:r>
      <w:r>
        <w:rPr>
          <w:b/>
        </w:rPr>
        <w:t>a</w:t>
      </w:r>
      <w:r w:rsidRPr="009E7D9C">
        <w:rPr>
          <w:b/>
        </w:rPr>
        <w:t>vy zesilovacích vedení (ZV)</w:t>
      </w:r>
    </w:p>
    <w:p w:rsidR="002862A0" w:rsidRDefault="002862A0" w:rsidP="002862A0">
      <w:r>
        <w:t>Dalším úkolem pro zadání projektových dokumentací staveb přechodu je rozhodnout, jaká varianta úprav ZV bude použita. Zda se bude řešit změna izolačního stavu ZV: varianta 1 -prostá výměna izolátorů, nebo v některém úseku trati (v dopravním uzlu) počítat s variantou 1a - s úpravou ZV na napájecí vedení (NV) zavěšené na stožárech TV, nebo varianta 2 - změna zapojení lan pro soustavu AC při zachování stávajícího izolačního stavu vedení, nebo v poslední řadě varianta 3 - počítá s demontáží ZV. Práce pro změnu izolačního stavu TV, ZV, NV je možné provádět v samostatných elektrických a částečných kolejových výlukách. Odpojení proudových propojení ZV-TV uvedené ve variantě  1a, 2, 3 se provede až při výluce pro změnu trakční soustavy.</w:t>
      </w:r>
    </w:p>
    <w:p w:rsidR="002862A0" w:rsidRDefault="002862A0" w:rsidP="002862A0">
      <w:r>
        <w:t xml:space="preserve">Rozbor variant využití stávajících zesilovacích vedení pro přechod na jednofázovou střídavou trakční soustavu AC 25kV 50Hz: </w:t>
      </w:r>
    </w:p>
    <w:p w:rsidR="002862A0" w:rsidRDefault="002862A0" w:rsidP="002862A0">
      <w:r w:rsidRPr="00396EFD">
        <w:rPr>
          <w:b/>
        </w:rPr>
        <w:t>Varianta 1</w:t>
      </w:r>
      <w:r>
        <w:t xml:space="preserve"> - ponechat stávající zapojení, to znamená provést změnu izolačního stavu ZV na 25kV, v tomto případě je nutné počítat s IN cca 282 tis. Kč/km</w:t>
      </w:r>
    </w:p>
    <w:p w:rsidR="002862A0" w:rsidRDefault="002862A0" w:rsidP="002862A0">
      <w:r>
        <w:t>Přínosem této varianty je snížení ohmického odporu trakčního vedení, což pro střídavou soustavu AC není tak podstatnou složkou pro výslednou impedanci trakčního obvodu, jako je tomu při napájení DC soustavy. To znamená, že návratnost IN za úpravy ZV je dlouhodobá ve vztahu k vynaloženým investičním nákladům a následným nákladům na údržbu vedení.</w:t>
      </w:r>
    </w:p>
    <w:p w:rsidR="002862A0" w:rsidRDefault="002862A0" w:rsidP="002862A0">
      <w:r w:rsidRPr="00396EFD">
        <w:rPr>
          <w:b/>
        </w:rPr>
        <w:t>Varianta 1a</w:t>
      </w:r>
      <w:r>
        <w:t xml:space="preserve"> – znamená posoudit možnost využití stávajícího lana ZV pro návrh napájecího vedení NV v případech, připojení napájecí stanice (TNS) nebo spínací stanice (SpS) pro připojení odbočující trať apod. V případě této úpravy ZV lze prakticky počítat s využitím stávajícího lana 120mm2 Cu s převěšením na nové konzoly (délky 1,5m) se závěsy pro 25kV, s demontáží  proudových propojeních TV. Pro uvedenou variantu se nedoporučuje využívat lano 240mm2 AlFe. </w:t>
      </w:r>
    </w:p>
    <w:p w:rsidR="002862A0" w:rsidRDefault="002862A0" w:rsidP="002862A0">
      <w:r>
        <w:t>Přínosem této varianty je hlavně možnost konfigurace napájení v poruchových a výlukových stavech jak na trakčním vedení, tak u napájecích stanic. Tato možnost bude výhodná hlavně v dopravních a napájecích uzlech. Nevýhodou varianty 1a je změna polohy závěsu lana a spojování stávajícího a nového lana.</w:t>
      </w:r>
    </w:p>
    <w:p w:rsidR="002862A0" w:rsidRDefault="002862A0" w:rsidP="002862A0">
      <w:r w:rsidRPr="00F04EB6">
        <w:rPr>
          <w:b/>
        </w:rPr>
        <w:t>Varianta 2</w:t>
      </w:r>
      <w:r>
        <w:rPr>
          <w:b/>
        </w:rPr>
        <w:t xml:space="preserve"> </w:t>
      </w:r>
      <w:r>
        <w:t>– řeší připojení stávajících lan ZV ke kolejnicovému zpětnému vedení bez výměny izolátorů závěsů a kotvení</w:t>
      </w:r>
      <w:r w:rsidRPr="00F04EB6">
        <w:t>, IN zahrnují demontáž propojek ZV-TV a přímé připojení lan ke koleji – v tomto případě se předpokládají</w:t>
      </w:r>
      <w:r>
        <w:t xml:space="preserve"> IN cca 65 tis.Kč/km</w:t>
      </w:r>
    </w:p>
    <w:p w:rsidR="002862A0" w:rsidRDefault="002862A0" w:rsidP="002862A0">
      <w:r>
        <w:t xml:space="preserve">V případě této varianty se předpokládá přínos ve snížení impedance trolejového vedení s ohledem na polohu stávajících lan v úrovni trolejového vedení. Stanovení výsledné impedance vedení s ohledem na novou polohu zpětného vedení </w:t>
      </w:r>
      <w:r w:rsidRPr="00F04EB6">
        <w:t>a určení velikosti ztrát na TV bude nutné definovat samostatnými výpočty a měřeními na TV. Tuto variantu přímého spojení s kolejnicemi ale umožní jen nový systém zabezpečovacího zařízení. V případě trati využívající kolejové obvody zabezpečovacího zařízení by bylo toto řešení možné jen pomocí propojení s vloženým elektronickým zařízením kolejových obvodů. Tím by se přínos tohoto řešení snižoval.</w:t>
      </w:r>
    </w:p>
    <w:p w:rsidR="002862A0" w:rsidRDefault="002862A0" w:rsidP="002862A0">
      <w:r w:rsidRPr="00F04EB6">
        <w:rPr>
          <w:b/>
        </w:rPr>
        <w:t>Varianta 3</w:t>
      </w:r>
      <w:r>
        <w:t xml:space="preserve"> - demontáž zesilovacích vedení - v tomto případě se předpokládají IN cca 245 tis.Kč/km vedení</w:t>
      </w:r>
    </w:p>
    <w:p w:rsidR="002862A0" w:rsidRDefault="002862A0" w:rsidP="002862A0">
      <w:r>
        <w:lastRenderedPageBreak/>
        <w:t>Tato varianta zahrnuje demontáž ZV, kterou by bylo nutné provádět během etapy 3. K této variantě je doporučeno přistoupit v případě tratí s kolejovými obvody zabezpečovacího zařízení, kdy se prokáže nevýhodnost varianty 2 nebo varianty 1.</w:t>
      </w:r>
    </w:p>
    <w:p w:rsidR="002862A0" w:rsidRDefault="002862A0" w:rsidP="002862A0">
      <w:r>
        <w:t>V investičních nákladech za TV této studie projektant TV počítá s  variantou 2.</w:t>
      </w:r>
    </w:p>
    <w:p w:rsidR="002862A0" w:rsidRDefault="002862A0" w:rsidP="002862A0">
      <w:r w:rsidRPr="00F04EB6">
        <w:rPr>
          <w:b/>
        </w:rPr>
        <w:t>Úprava sekcí TV a DOO</w:t>
      </w:r>
    </w:p>
    <w:p w:rsidR="002862A0" w:rsidRDefault="002862A0" w:rsidP="002862A0">
      <w:pPr>
        <w:spacing w:after="0"/>
      </w:pPr>
      <w:r>
        <w:t>Úpravy TV pro změnu izolačního stavu železničních stanic je možné využít i pro přípravu na změnu rozdělení TV do nových sekcí podle aktualizovaných požadavků dopravní technologie. Trakční soustava AC snižuje nároky na velikost průřezu trakčních vedení, a proto je možné oddělit předjízdné koleje u nástupišť atd. Pro stanovení investičních nákladů se vychází ze stávajícího počtu odpojovačů a děličů, které by se v celkovém rozsahu nemusely změnit i při přerozdělení TV jednotlivých kolejových skupin. Tyto úpravy dělení sekcí umožňují snížit omezení provozu při výlukách vyvolaných údržbou železničního svršku, TV, přístřešků nástupišť atd.</w:t>
      </w:r>
    </w:p>
    <w:p w:rsidR="002862A0" w:rsidRDefault="002862A0" w:rsidP="002862A0">
      <w:pPr>
        <w:spacing w:after="0"/>
      </w:pPr>
      <w:r>
        <w:t>V této souvislosti projektant upozorňuje na problematiku dálkového ovládání odpojovačů některých železničních stanic. Podle zjištění je řada železničních stanic, u kterých jsou jednotlivé elektrické sekce připojeny prostřednictvím ručně ovládaných odpojovačů. Na základě těchto zjištění projektant doporučuje doplnění kabelů DOO řešit v projektové dokumentaci společně s výměnou kabelových vedení zabezpečovacího zařízení, i když tato problematika není předmětem zadání této studie.</w:t>
      </w:r>
    </w:p>
    <w:p w:rsidR="002862A0" w:rsidRDefault="002862A0" w:rsidP="002862A0">
      <w:pPr>
        <w:spacing w:after="0"/>
      </w:pPr>
      <w:r>
        <w:t xml:space="preserve">Rozsah výluk pro úpravy TV je nutné stanovit podle typů závěsů a konkrétního dělení systémů TV v elektrických sekcích. Elektrické a kolejové výluky je vhodné plánovat společně s pracemi prováděnými na zabezpečovacím zařízení nebo s jinými pracemi týkajícími se údržby železničního svršku apod. </w:t>
      </w:r>
    </w:p>
    <w:p w:rsidR="002862A0" w:rsidRDefault="002862A0" w:rsidP="002862A0">
      <w:r w:rsidRPr="00F04EB6">
        <w:rPr>
          <w:b/>
        </w:rPr>
        <w:t>Upozornění</w:t>
      </w:r>
      <w:r>
        <w:t xml:space="preserve"> zpracovatele na proveditelnost prosté výměny izolátorů na konzolách TV, SIK  a  závěsů na nosných převěsech TV jejichž stáří je 30 a více let - pro takové případy se doporučuje spojit tyto práce s rekonstrukcí </w:t>
      </w:r>
      <w:r w:rsidRPr="00F04EB6">
        <w:t>TV</w:t>
      </w:r>
      <w:r>
        <w:t xml:space="preserve"> většího rozsahu a tím zajistit i prodloužení spolehlivé životnosti TV.</w:t>
      </w:r>
    </w:p>
    <w:p w:rsidR="002862A0" w:rsidRDefault="002862A0" w:rsidP="002862A0">
      <w:r>
        <w:rPr>
          <w:b/>
        </w:rPr>
        <w:t xml:space="preserve">ETAPA </w:t>
      </w:r>
      <w:r w:rsidRPr="00C32CD1">
        <w:rPr>
          <w:b/>
        </w:rPr>
        <w:t>2 - příprav</w:t>
      </w:r>
      <w:r>
        <w:rPr>
          <w:b/>
        </w:rPr>
        <w:t>a</w:t>
      </w:r>
      <w:r w:rsidRPr="00C32CD1">
        <w:rPr>
          <w:b/>
        </w:rPr>
        <w:t xml:space="preserve"> připojení napájecích stanic (TNS), spínacích stanic (SpS) a ostatních transformátorů (pro UNZ, EPZ ) na TV</w:t>
      </w:r>
      <w:r>
        <w:t>. V této etapě se uvažuje nová výstavba TNS, SpS a transformátorů. Do trolejových vedení budou vloženy děliče TV 25kV pro neutrální pole napájecích a spínacích stanic (pokud budou navrženy) a provizorní neutrální pole pro styk trakčních soustav. Dále se počítá s realizací nových napájecích převěsů a kabelových vedení napájecích a zpětných vedení tak, aby se minimalizovala vlastní celková výluka přepojovaného úseku pro práce popsané v etapě 3.</w:t>
      </w:r>
    </w:p>
    <w:p w:rsidR="002862A0" w:rsidRDefault="002862A0" w:rsidP="002862A0">
      <w:r>
        <w:rPr>
          <w:b/>
        </w:rPr>
        <w:t>ETAPA</w:t>
      </w:r>
      <w:r w:rsidRPr="00C32CD1">
        <w:rPr>
          <w:b/>
        </w:rPr>
        <w:t xml:space="preserve"> 3 - připojení napájecích stanic (TNS), spínacích stanic SpS na TV</w:t>
      </w:r>
      <w:r>
        <w:t xml:space="preserve"> nastane po odpojení stávajících trakčních měníren (MR), v trakčním vedení  se počítá s odpojením a demontáží bleskojistek TV DC soustavy, vzdušných a kabelových napájecích vedení, s demontáží zpětných kabelových vedení včetně rozvaděčů. V případech, kdy umístění napájecí stanice AC 25kV je v blízkosti měnírny DC, se počítá s využitím stávajících vzdušných linek napájecích vedení pro připojení TNS AC 25kV na TV (například linky Koštov, Libochovany atd.) Před připojením nových nebo upravovaných zařízení a jejich uvedení do provozu TV je nutné počítat s časem pro technické prohlídky, zkoušky a pro zpracování revizních dokumentů.</w:t>
      </w:r>
    </w:p>
    <w:p w:rsidR="002862A0" w:rsidRDefault="002862A0" w:rsidP="002862A0">
      <w:pPr>
        <w:pStyle w:val="Nadpis3"/>
      </w:pPr>
    </w:p>
    <w:p w:rsidR="002862A0" w:rsidRDefault="002862A0" w:rsidP="002862A0">
      <w:pPr>
        <w:pStyle w:val="Nadpis3"/>
      </w:pPr>
      <w:bookmarkStart w:id="26" w:name="_Toc456957692"/>
      <w:r>
        <w:t>6.6.2 Ochrana před úrazem elektrickým proudem</w:t>
      </w:r>
      <w:bookmarkEnd w:id="26"/>
      <w:r>
        <w:t xml:space="preserve"> </w:t>
      </w:r>
    </w:p>
    <w:p w:rsidR="002862A0" w:rsidRPr="002862A0" w:rsidRDefault="002862A0" w:rsidP="002862A0"/>
    <w:p w:rsidR="002862A0" w:rsidRDefault="002862A0" w:rsidP="002862A0">
      <w:r>
        <w:t>Ochrana před úrazem elektrickým proudem je řešena na tratích SŽDC ukolejněním trakčních podpěr a vodivých konstrukcí v prostoru ohroženém trakčním vedením. Vlastní změna trakční soustavy stejnosměrné DC 3kV na soustavu střídavou AC není zásadním důvodem pro změnu způsobu ukolejnění. Podle současně platné normy ČSN 34 1500ed.2 jsou trakční podpěry a ostatní konstrukce v DC soustavě ukolejněny nepřímo, tj. přes průrazku, bez ohledu na přítomnost kolejových obvodů zabezpečovacího zařízení.. V trakční soustavě AC na tratích s kolejovými obvody zabezpečovacího zařízení musí být trakční podpěry a ostatní konstrukce ukolejněny také nepřímo. Proto se v této studií počítá s novým ukolejněním pouze nových trakčních podpěr, ukolejněním všech podpěr s bleskojistkami a omezovači přepětí a ostatních nových vodivých předmětů, nacházejících se v oblasti POTV. S demontáží stávajících ukolejnění se počítá jen v případech demontáže stávajících zařízení a u stožárů se stávajícími bleskojistkami a omezovači přepětí.</w:t>
      </w:r>
      <w:r w:rsidRPr="0064338B">
        <w:t xml:space="preserve"> </w:t>
      </w:r>
      <w:r>
        <w:t xml:space="preserve">V případech tratí s trakční soustavou AC 25kV50Hz bez kolejových obvodů je možné provádět postupně demontáž průrazek, to znamená měnit způsob </w:t>
      </w:r>
      <w:r w:rsidRPr="0064338B">
        <w:t>ochran</w:t>
      </w:r>
      <w:r>
        <w:t>y</w:t>
      </w:r>
      <w:r w:rsidRPr="0064338B">
        <w:t xml:space="preserve"> neživých částí TV</w:t>
      </w:r>
      <w:r>
        <w:t xml:space="preserve"> z nepřímé na přímou podle ČSN 34 1500ed.2, například při  údržbě TV, nebo při změně zabezpečovacího zařízení.</w:t>
      </w:r>
    </w:p>
    <w:p w:rsidR="00A63DCE" w:rsidRPr="00A63DCE" w:rsidRDefault="00A63DCE" w:rsidP="002862A0">
      <w:pPr>
        <w:rPr>
          <w:b/>
        </w:rPr>
      </w:pPr>
      <w:r w:rsidRPr="00A63DCE">
        <w:rPr>
          <w:b/>
        </w:rPr>
        <w:t>V případech práce na souběžných elektrizovaných tratí jiných drah,( tramvajových, trolejbusových) a jiných vedení nacházejících se v blízkosti s trakčním vedením AC soustavy pod napětím, je nutné zajistit pracoviště zkratovacími soupravami z obou stran pracoviště na vzdálenost 250m podle TNŽ 34 3109 čl.6.4.</w:t>
      </w:r>
    </w:p>
    <w:p w:rsidR="00676CAD" w:rsidRDefault="00676CAD">
      <w:pPr>
        <w:rPr>
          <w:b/>
        </w:rPr>
      </w:pPr>
      <w:r>
        <w:rPr>
          <w:b/>
        </w:rPr>
        <w:br w:type="page"/>
      </w:r>
    </w:p>
    <w:p w:rsidR="00676CAD" w:rsidRDefault="00676CAD" w:rsidP="00676CAD">
      <w:pPr>
        <w:pStyle w:val="Nadpis1"/>
        <w:ind w:left="720"/>
      </w:pPr>
      <w:bookmarkStart w:id="27" w:name="_Toc456957693"/>
      <w:r>
        <w:lastRenderedPageBreak/>
        <w:t>6.7 Protikorozní ochrana – bludné proudy</w:t>
      </w:r>
      <w:bookmarkEnd w:id="27"/>
    </w:p>
    <w:p w:rsidR="00676CAD" w:rsidRDefault="00676CAD" w:rsidP="00676CAD"/>
    <w:p w:rsidR="002862A0" w:rsidRPr="002862A0" w:rsidRDefault="002862A0" w:rsidP="002862A0">
      <w:pPr>
        <w:pStyle w:val="Nadpis3"/>
      </w:pPr>
      <w:bookmarkStart w:id="28" w:name="_Toc456185614"/>
      <w:bookmarkStart w:id="29" w:name="_Toc456957694"/>
      <w:r w:rsidRPr="002862A0">
        <w:t>6.7.1. DC trakční proudová soustava</w:t>
      </w:r>
      <w:bookmarkEnd w:id="28"/>
      <w:bookmarkEnd w:id="29"/>
    </w:p>
    <w:p w:rsidR="002862A0" w:rsidRPr="002862A0" w:rsidRDefault="002862A0" w:rsidP="002862A0"/>
    <w:p w:rsidR="002862A0" w:rsidRPr="002862A0" w:rsidRDefault="002862A0" w:rsidP="002862A0">
      <w:pPr>
        <w:jc w:val="both"/>
        <w:rPr>
          <w:rFonts w:cs="Arial"/>
          <w:sz w:val="24"/>
          <w:szCs w:val="24"/>
        </w:rPr>
      </w:pPr>
      <w:r w:rsidRPr="002862A0">
        <w:tab/>
        <w:t>Je všeobecně známo, že stejnosměrně elektrizované tratě jsou jedním z nejvýznamnějších zdrojů bludných proudů. Do země se zpětný proud z trakčních kolejí (dále již bludný proud) nejčastěji dostává přes soustavu odporů kolejí proti zemi, kterou tvoří jednotlivé odpory mezi trakční kolejnicí a pražci a dále jednotlivé dotyky kolejnice se štěrkovým podložím. Anomálií (i když ne výjimečnou) tvoří trakční kolej se souvislým půdním kontaktem, kde je velmi nízký izolační stav kolejí proti zemi a může zde docházet ke značným únikům trakčních proudů do země, jehož velikost kromě zmíněného izolačního stavu závisí na velikosti potenciálu kolejí proti zemi. Výstavba nových koridorových tratí však významným způsobem zlepšila izolační stav díky novým technologiím upevnění kolejí k železobetonovým pražcům, kde se významným způsobem eliminovaly úniky bludných proudů do země, tento vysoký izolační stav však s sebou nese některé další negativní vlivy</w:t>
      </w:r>
      <w:r w:rsidRPr="002862A0">
        <w:rPr>
          <w:rFonts w:cs="Arial"/>
          <w:sz w:val="24"/>
          <w:szCs w:val="24"/>
        </w:rPr>
        <w:t>.</w:t>
      </w:r>
    </w:p>
    <w:p w:rsidR="002862A0" w:rsidRPr="00061ECF" w:rsidRDefault="002862A0" w:rsidP="004F4A16">
      <w:pPr>
        <w:rPr>
          <w:rFonts w:eastAsiaTheme="majorEastAsia"/>
          <w:u w:val="single"/>
        </w:rPr>
      </w:pPr>
      <w:bookmarkStart w:id="30" w:name="_Toc456185615"/>
      <w:r w:rsidRPr="00061ECF">
        <w:rPr>
          <w:rFonts w:eastAsiaTheme="majorEastAsia"/>
          <w:u w:val="single"/>
        </w:rPr>
        <w:t>Koroze bludnými proudy</w:t>
      </w:r>
      <w:bookmarkEnd w:id="30"/>
    </w:p>
    <w:p w:rsidR="002862A0" w:rsidRPr="002862A0" w:rsidRDefault="002862A0" w:rsidP="004F4A16">
      <w:r w:rsidRPr="002862A0">
        <w:tab/>
        <w:t xml:space="preserve">Tento druh koroze rovněž vzniká anodickými a katodickými procesy s tím rozdílem, že jsou na povrchu kovu vyvolány vnějším zdrojem stejnosměrného proudu. Vyskytuje se převážně u kovových úložných zařízení, které nejsou buď vůbec, nebo jsou nedostatečně odizolovány od půdního prostředí a jsou uloženy v blízkosti zdrojů, které bludné proudy vyvolávají. K těmto zdrojům patří především kolejová doprava elektrizovaná stejnosměrným proudem (vlaková doprava, tramvaje). Kladný pól napájecího zdroje je u většiny elektrizovaných tratí  připojen k troleji, záporný pak ke kolejnici. Kolejnice jako zpětný vodič trakčního proudu není a ani nemůže být nikdy zcela odizolován od okolního prostředí (od země), část trakčního proudu se tedy dostává do země a v blízkosti trakční měnírny teče zpět ke  zdroji elektrického proudu. </w:t>
      </w:r>
    </w:p>
    <w:p w:rsidR="002862A0" w:rsidRPr="002862A0" w:rsidRDefault="002862A0" w:rsidP="004F4A16">
      <w:r w:rsidRPr="002862A0">
        <w:t>Elektrický proud unikající z trakčních kolejnic (protékající např. zemí, vodou, úložným zařízením apod.) je nazýván „bludným proudem“.  Obecně zdrojů proudů tekoucích zemí je mnoho (např. telurické proudy protékající vrchní vrstvou zemské kůry a souvisejí s denními variacemi magnetického pole). Proto ČSN 03 8370 v názvosloví upřesňuje, že bludný proud je elektrický proud unikající z elektrických zařízení nedostatečně izolovaných proti zemi nebo používajících země jako zpětného vodiče.   Negativní účinky bludných proudů jsou především v těch místech, kde bludné proudy z kovových  konstrukcí vystupují do země ( např. z úložných potrubí, nádrží, železobetonových objektů, armatur mostů, metalických kabelových plášťů, ale i samotná kolejnice).</w:t>
      </w:r>
    </w:p>
    <w:p w:rsidR="002862A0" w:rsidRPr="002862A0" w:rsidRDefault="002862A0" w:rsidP="004F4A16">
      <w:r w:rsidRPr="002862A0">
        <w:t xml:space="preserve"> </w:t>
      </w:r>
    </w:p>
    <w:p w:rsidR="002862A0" w:rsidRPr="00061ECF" w:rsidRDefault="002862A0" w:rsidP="004F4A16">
      <w:pPr>
        <w:rPr>
          <w:rFonts w:eastAsiaTheme="majorEastAsia"/>
          <w:u w:val="single"/>
        </w:rPr>
      </w:pPr>
      <w:bookmarkStart w:id="31" w:name="_Toc456185616"/>
      <w:r w:rsidRPr="00061ECF">
        <w:rPr>
          <w:rFonts w:eastAsiaTheme="majorEastAsia"/>
          <w:u w:val="single"/>
        </w:rPr>
        <w:t>Faktory ovlivňující šíření bludných proudů</w:t>
      </w:r>
      <w:bookmarkEnd w:id="31"/>
    </w:p>
    <w:p w:rsidR="002862A0" w:rsidRPr="002862A0" w:rsidRDefault="002862A0" w:rsidP="004F4A16">
      <w:r w:rsidRPr="002862A0">
        <w:tab/>
        <w:t xml:space="preserve">U železniční stejnosměrné trakční proudové soustavy 3 kV, kde je minus pól připojen ke kolejnici, je pásmo korozního ohrožení (anodická oblast) soustředěno především v oblasti měnírny, kde bludný proud má snahu vystupovat z kovových zařízení do země a zemí se vracet do kolejnic k měnírně. Z kladného pólu měnírny prostřednictvím troleje přes trakční lokomotivu  v záběru  se tedy </w:t>
      </w:r>
      <w:r w:rsidRPr="002862A0">
        <w:lastRenderedPageBreak/>
        <w:t>dostává trakční proud do kolejnic. Následně vzniklý úbytek napětí má snahu podle Ohmova zákona protlačit do země proud, který je přímo úměrný potenciálu kolej - zem a nepřímo úměrný přechodové rezistanci kolej - zem. Přechodová rezistance kolej - zem je závislá na:</w:t>
      </w:r>
    </w:p>
    <w:p w:rsidR="002862A0" w:rsidRPr="002862A0" w:rsidRDefault="002862A0" w:rsidP="004F4A16">
      <w:r w:rsidRPr="002862A0">
        <w:t>*  kvalitě železničního svršku a spodku,</w:t>
      </w:r>
    </w:p>
    <w:p w:rsidR="002862A0" w:rsidRPr="002862A0" w:rsidRDefault="002862A0" w:rsidP="004F4A16">
      <w:r w:rsidRPr="002862A0">
        <w:t>*  způsobu odizolování kolejnicových pasů od žel svršku,</w:t>
      </w:r>
    </w:p>
    <w:p w:rsidR="002862A0" w:rsidRPr="002862A0" w:rsidRDefault="002862A0" w:rsidP="004F4A16">
      <w:r w:rsidRPr="002862A0">
        <w:t>*  ochraně ukolejněním dle ČSN 34 1500, zejména čl. 6.4.1</w:t>
      </w:r>
    </w:p>
    <w:p w:rsidR="002862A0" w:rsidRPr="002862A0" w:rsidRDefault="002862A0" w:rsidP="004F4A16">
      <w:r w:rsidRPr="002862A0">
        <w:t>*  použité drenážní ochraně a místě jejího připojení</w:t>
      </w:r>
    </w:p>
    <w:p w:rsidR="002862A0" w:rsidRPr="002862A0" w:rsidRDefault="002862A0" w:rsidP="004F4A16">
      <w:r w:rsidRPr="002862A0">
        <w:t>*  kvalitě odizolování trakční kolejnice od kovových částí mostních konstrukcí</w:t>
      </w:r>
    </w:p>
    <w:p w:rsidR="002862A0" w:rsidRPr="002862A0" w:rsidRDefault="002862A0" w:rsidP="004F4A16">
      <w:r w:rsidRPr="002862A0">
        <w:t>*  odizolování neelektrifikovaných tratí a vleček</w:t>
      </w:r>
    </w:p>
    <w:p w:rsidR="002862A0" w:rsidRPr="002862A0" w:rsidRDefault="002862A0" w:rsidP="004F4A16">
      <w:r w:rsidRPr="002862A0">
        <w:t>*  způsobu ochrany místní rozvodné sítě v prostoru POTV před nebezpečným dotykovým napětím dle ČSN 34 1500 čl. 6.6</w:t>
      </w:r>
    </w:p>
    <w:p w:rsidR="002862A0" w:rsidRPr="002862A0" w:rsidRDefault="002862A0" w:rsidP="002862A0">
      <w:pPr>
        <w:numPr>
          <w:ilvl w:val="12"/>
          <w:numId w:val="0"/>
        </w:numPr>
        <w:ind w:left="283" w:hanging="283"/>
        <w:jc w:val="both"/>
        <w:rPr>
          <w:rFonts w:cs="Arial"/>
        </w:rPr>
      </w:pPr>
      <w:r w:rsidRPr="002862A0">
        <w:rPr>
          <w:rFonts w:cs="Arial"/>
          <w:i/>
        </w:rPr>
        <w:t>Pozn. Doporučené parametry průrazek s opakovatelnou funkcí a elektrické parametry ukolejňovací tlumivky a drenážní tlumivky jsou v ČSN 34 2613 přílohy B a C</w:t>
      </w:r>
    </w:p>
    <w:p w:rsidR="002862A0" w:rsidRPr="002862A0" w:rsidRDefault="002862A0" w:rsidP="002862A0">
      <w:pPr>
        <w:jc w:val="both"/>
        <w:rPr>
          <w:rFonts w:cs="Arial"/>
        </w:rPr>
      </w:pPr>
    </w:p>
    <w:p w:rsidR="002862A0" w:rsidRPr="002862A0" w:rsidRDefault="002862A0" w:rsidP="002862A0">
      <w:r w:rsidRPr="002862A0">
        <w:tab/>
        <w:t xml:space="preserve">U jednostranně napájených tratí je únik zpětných trakčních proudů ovlivněn značným úbytkem napětí proti vzdálené zemi v koncovém bodě trakčního napájení, kdy při trakčním odběru se veškerý trakční proud musí vrátit  pouze k jednomu zdroji. Jakákoliv závada ve zpětné trakční cestě (např. upadlá propojka apod) toto napětí ještě zvyšuje (v závislosti na závažnosti závady a jejím umístění) a svým působením zvětšuje katodickou a anodickou oblast a tím i zvyšuje korozní ohrožení. Vzhledem k vysokým úbytkům napětí má zpětný trakční proud snahu vracet se zemí také prostřednictvím neelektrifikovaných úseků a to především ve svém koncovém bodě (bez trakčního napájení), kde může být  zavlečen kolejemi do značných vzdáleností od elektrické trakce a při návratu bludných proudů zemí může způsobovat korozní ohrožení i vzdálených úložných zařízení. Obdobná situace nastává v lokalitě styku DC a AC trakce, kde měnírna je umístěna ve větší vzdálenosti od místa styku  a tak zde vzniká obdoba jednostranného napájení. </w:t>
      </w:r>
    </w:p>
    <w:p w:rsidR="002862A0" w:rsidRPr="002862A0" w:rsidRDefault="002862A0" w:rsidP="002862A0">
      <w:pPr>
        <w:jc w:val="both"/>
        <w:rPr>
          <w:rFonts w:cs="Arial"/>
          <w:bCs/>
          <w:i/>
        </w:rPr>
      </w:pPr>
      <w:r w:rsidRPr="002862A0">
        <w:rPr>
          <w:rFonts w:cs="Arial"/>
          <w:bCs/>
          <w:i/>
        </w:rPr>
        <w:tab/>
        <w:t xml:space="preserve">Poznámka: V zemi uložené rozměrnější vodivé předměty, které nejsou od země dostatečně odizolovány,  mohou vzhledem ke své dobré podélné vodivosti nasávat a vést bludné proudy i do míst značně vzdálených. Takto působí nedostatečně izolovaná potrubí, neliniová kovová zařízení propojená s ochranným vodičem distribučních sítí a následně s jejich průběžným přizemněním apod. </w:t>
      </w:r>
    </w:p>
    <w:p w:rsidR="002862A0" w:rsidRPr="002862A0" w:rsidRDefault="002862A0" w:rsidP="002862A0">
      <w:pPr>
        <w:numPr>
          <w:ilvl w:val="12"/>
          <w:numId w:val="0"/>
        </w:numPr>
        <w:jc w:val="both"/>
        <w:rPr>
          <w:rFonts w:cs="Arial"/>
        </w:rPr>
      </w:pPr>
      <w:r w:rsidRPr="002862A0">
        <w:rPr>
          <w:rFonts w:cs="Arial"/>
        </w:rPr>
        <w:t>V obou případech může navíc při průjezdu vlaku přes izolované styky (dále jen IS) docházet k zapálení elektrického oblouku, kde pravděpodobnost zapálení a intenzita oblouku je závislá na velikosti napětí na IS (velikosti trakčního odběru) při průjezdu vlaku přes IS</w:t>
      </w:r>
    </w:p>
    <w:p w:rsidR="007E2307" w:rsidRDefault="007E2307">
      <w:pPr>
        <w:rPr>
          <w:rFonts w:cs="Arial"/>
          <w:sz w:val="24"/>
          <w:szCs w:val="24"/>
        </w:rPr>
      </w:pPr>
      <w:r>
        <w:rPr>
          <w:rFonts w:cs="Arial"/>
          <w:sz w:val="24"/>
          <w:szCs w:val="24"/>
        </w:rPr>
        <w:br w:type="page"/>
      </w:r>
    </w:p>
    <w:p w:rsidR="002862A0" w:rsidRPr="002862A0" w:rsidRDefault="002862A0" w:rsidP="002862A0">
      <w:pPr>
        <w:numPr>
          <w:ilvl w:val="12"/>
          <w:numId w:val="0"/>
        </w:numPr>
        <w:jc w:val="both"/>
        <w:rPr>
          <w:rFonts w:cs="Arial"/>
          <w:sz w:val="24"/>
          <w:szCs w:val="24"/>
        </w:rPr>
      </w:pPr>
      <w:r w:rsidRPr="002862A0">
        <w:rPr>
          <w:rFonts w:cs="Arial"/>
          <w:sz w:val="24"/>
          <w:szCs w:val="24"/>
        </w:rPr>
        <w:lastRenderedPageBreak/>
        <w:t>Koroze potrubí způsobená bludnými proudy.</w:t>
      </w:r>
    </w:p>
    <w:p w:rsidR="002862A0" w:rsidRPr="002862A0" w:rsidRDefault="002862A0" w:rsidP="002862A0">
      <w:pPr>
        <w:jc w:val="both"/>
        <w:rPr>
          <w:rFonts w:cs="Arial"/>
          <w:noProof/>
          <w:sz w:val="24"/>
          <w:szCs w:val="24"/>
        </w:rPr>
      </w:pPr>
      <w:r w:rsidRPr="002862A0">
        <w:rPr>
          <w:rFonts w:cs="Arial"/>
          <w:noProof/>
          <w:sz w:val="24"/>
          <w:szCs w:val="24"/>
        </w:rPr>
        <w:drawing>
          <wp:inline distT="0" distB="0" distL="0" distR="0" wp14:anchorId="2CE1C448" wp14:editId="6C33CC74">
            <wp:extent cx="5137962" cy="3847381"/>
            <wp:effectExtent l="0" t="0" r="5715" b="1270"/>
            <wp:docPr id="21" name="Picture 4" descr="trub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rubky"/>
                    <pic:cNvPicPr>
                      <a:picLocks noChangeAspect="1" noChangeArrowheads="1"/>
                    </pic:cNvPicPr>
                  </pic:nvPicPr>
                  <pic:blipFill>
                    <a:blip r:embed="rId18" cstate="print">
                      <a:extLst>
                        <a:ext uri="{28A0092B-C50C-407E-A947-70E740481C1C}">
                          <a14:useLocalDpi xmlns:a14="http://schemas.microsoft.com/office/drawing/2010/main" val="0"/>
                        </a:ext>
                      </a:extLst>
                    </a:blip>
                    <a:srcRect t="8572" r="24492" b="8345"/>
                    <a:stretch>
                      <a:fillRect/>
                    </a:stretch>
                  </pic:blipFill>
                  <pic:spPr bwMode="auto">
                    <a:xfrm>
                      <a:off x="0" y="0"/>
                      <a:ext cx="5141131" cy="3849754"/>
                    </a:xfrm>
                    <a:prstGeom prst="rect">
                      <a:avLst/>
                    </a:prstGeom>
                    <a:noFill/>
                    <a:ln>
                      <a:noFill/>
                    </a:ln>
                  </pic:spPr>
                </pic:pic>
              </a:graphicData>
            </a:graphic>
          </wp:inline>
        </w:drawing>
      </w:r>
    </w:p>
    <w:p w:rsidR="002862A0" w:rsidRPr="002862A0" w:rsidRDefault="002862A0" w:rsidP="002862A0">
      <w:pPr>
        <w:jc w:val="both"/>
        <w:rPr>
          <w:rFonts w:cs="Arial"/>
          <w:sz w:val="24"/>
          <w:szCs w:val="24"/>
        </w:rPr>
      </w:pPr>
      <w:r w:rsidRPr="002862A0">
        <w:rPr>
          <w:rFonts w:cs="Arial"/>
          <w:sz w:val="24"/>
          <w:szCs w:val="24"/>
        </w:rPr>
        <w:t>Koroze kolejnice způsobená únikem zpětného trakčního proudu do země</w:t>
      </w:r>
    </w:p>
    <w:p w:rsidR="002862A0" w:rsidRPr="002862A0" w:rsidRDefault="002862A0" w:rsidP="002862A0">
      <w:pPr>
        <w:jc w:val="both"/>
        <w:rPr>
          <w:rFonts w:cs="Arial"/>
          <w:sz w:val="24"/>
          <w:szCs w:val="24"/>
        </w:rPr>
      </w:pPr>
      <w:r w:rsidRPr="002862A0">
        <w:rPr>
          <w:rFonts w:cs="Arial"/>
          <w:noProof/>
          <w:sz w:val="24"/>
          <w:szCs w:val="24"/>
        </w:rPr>
        <w:drawing>
          <wp:inline distT="0" distB="0" distL="0" distR="0" wp14:anchorId="1A37773A" wp14:editId="5CE5B3ED">
            <wp:extent cx="5132717" cy="3851971"/>
            <wp:effectExtent l="0" t="0" r="0" b="0"/>
            <wp:docPr id="22" name="Picture 2" descr="obrazek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brazek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32717" cy="3851971"/>
                    </a:xfrm>
                    <a:prstGeom prst="rect">
                      <a:avLst/>
                    </a:prstGeom>
                    <a:noFill/>
                    <a:ln>
                      <a:noFill/>
                    </a:ln>
                  </pic:spPr>
                </pic:pic>
              </a:graphicData>
            </a:graphic>
          </wp:inline>
        </w:drawing>
      </w:r>
    </w:p>
    <w:p w:rsidR="002862A0" w:rsidRPr="002862A0" w:rsidRDefault="002862A0" w:rsidP="002862A0">
      <w:pPr>
        <w:jc w:val="both"/>
        <w:rPr>
          <w:rFonts w:cs="Arial"/>
          <w:sz w:val="24"/>
          <w:szCs w:val="24"/>
        </w:rPr>
      </w:pPr>
    </w:p>
    <w:p w:rsidR="002862A0" w:rsidRPr="002862A0" w:rsidRDefault="002862A0" w:rsidP="00061ECF">
      <w:pPr>
        <w:rPr>
          <w:rFonts w:eastAsiaTheme="majorEastAsia"/>
          <w:u w:val="single"/>
        </w:rPr>
      </w:pPr>
      <w:bookmarkStart w:id="32" w:name="_Toc456185617"/>
      <w:r w:rsidRPr="002862A0">
        <w:rPr>
          <w:rFonts w:eastAsiaTheme="majorEastAsia"/>
          <w:u w:val="single"/>
        </w:rPr>
        <w:t>Mechanizmus koroze bludnými proudy</w:t>
      </w:r>
      <w:bookmarkEnd w:id="32"/>
    </w:p>
    <w:p w:rsidR="002862A0" w:rsidRPr="002862A0" w:rsidRDefault="002862A0" w:rsidP="002862A0">
      <w:pPr>
        <w:jc w:val="both"/>
        <w:rPr>
          <w:rFonts w:cs="Arial"/>
        </w:rPr>
      </w:pPr>
      <w:r w:rsidRPr="002862A0">
        <w:rPr>
          <w:rFonts w:cs="Arial"/>
        </w:rPr>
        <w:tab/>
        <w:t xml:space="preserve">Koroze kovů bludnými proudy je elektrochemický proces, při němž je rozpouštění (korodování) kovu urychleno elektrickým proudem z jiného zdroje, než z korozních článků na korodujícím kovovém zařízení. Tímto proudem, urychlujícím korodování kovů, je zpravidla část zpětného trakčního proudu tekoucího zemí. </w:t>
      </w:r>
    </w:p>
    <w:p w:rsidR="002862A0" w:rsidRPr="002862A0" w:rsidRDefault="002862A0" w:rsidP="002862A0">
      <m:oMathPara>
        <m:oMathParaPr>
          <m:jc m:val="left"/>
        </m:oMathParaPr>
        <m:oMath>
          <m:r>
            <w:rPr>
              <w:rFonts w:ascii="Cambria Math" w:hAnsi="Cambria Math"/>
            </w:rPr>
            <m:t>m=</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m</m:t>
                  </m:r>
                </m:sub>
              </m:sSub>
            </m:num>
            <m:den>
              <m:r>
                <w:rPr>
                  <w:rFonts w:ascii="Cambria Math" w:hAnsi="Cambria Math"/>
                </w:rPr>
                <m:t>F.v</m:t>
              </m:r>
            </m:den>
          </m:f>
          <m:r>
            <w:rPr>
              <w:rFonts w:ascii="Cambria Math" w:hAnsi="Cambria Math"/>
            </w:rPr>
            <m:t>.I.t</m:t>
          </m:r>
        </m:oMath>
      </m:oMathPara>
    </w:p>
    <w:p w:rsidR="002862A0" w:rsidRPr="002862A0" w:rsidRDefault="002862A0" w:rsidP="002862A0">
      <w:pPr>
        <w:rPr>
          <w:i/>
        </w:rPr>
      </w:pPr>
      <w:r w:rsidRPr="002862A0">
        <w:rPr>
          <w:i/>
        </w:rPr>
        <w:t xml:space="preserve">m – hmotnost vyloučeného materiálu </w:t>
      </w:r>
    </w:p>
    <w:p w:rsidR="002862A0" w:rsidRPr="002862A0" w:rsidRDefault="002862A0" w:rsidP="002862A0">
      <w:pPr>
        <w:rPr>
          <w:i/>
        </w:rPr>
      </w:pPr>
      <w:r w:rsidRPr="002862A0">
        <w:rPr>
          <w:i/>
        </w:rPr>
        <w:t>M</w:t>
      </w:r>
      <w:r w:rsidRPr="002862A0">
        <w:rPr>
          <w:i/>
          <w:vertAlign w:val="subscript"/>
        </w:rPr>
        <w:t>m</w:t>
      </w:r>
      <w:r w:rsidRPr="002862A0">
        <w:rPr>
          <w:i/>
        </w:rPr>
        <w:t xml:space="preserve"> – molární hmotnost (železo 55,854)</w:t>
      </w:r>
    </w:p>
    <w:p w:rsidR="002862A0" w:rsidRPr="002862A0" w:rsidRDefault="002862A0" w:rsidP="002862A0">
      <w:pPr>
        <w:rPr>
          <w:i/>
        </w:rPr>
      </w:pPr>
      <w:r w:rsidRPr="002862A0">
        <w:rPr>
          <w:i/>
        </w:rPr>
        <w:t>F – Faradayova konstanta (9,65.10</w:t>
      </w:r>
      <w:r w:rsidRPr="002862A0">
        <w:rPr>
          <w:i/>
          <w:vertAlign w:val="superscript"/>
        </w:rPr>
        <w:t>4</w:t>
      </w:r>
      <w:r w:rsidRPr="002862A0">
        <w:rPr>
          <w:i/>
        </w:rPr>
        <w:t xml:space="preserve"> C.mol</w:t>
      </w:r>
      <w:r w:rsidRPr="002862A0">
        <w:rPr>
          <w:i/>
          <w:vertAlign w:val="superscript"/>
        </w:rPr>
        <w:t>-1</w:t>
      </w:r>
      <w:r w:rsidRPr="002862A0">
        <w:rPr>
          <w:i/>
        </w:rPr>
        <w:t>)</w:t>
      </w:r>
    </w:p>
    <w:p w:rsidR="002862A0" w:rsidRPr="002862A0" w:rsidRDefault="002862A0" w:rsidP="002862A0">
      <w:pPr>
        <w:rPr>
          <w:i/>
        </w:rPr>
      </w:pPr>
      <w:r w:rsidRPr="002862A0">
        <w:rPr>
          <w:i/>
        </w:rPr>
        <w:t>v – počet elementárních nábojů potřebných pro vyloučení jedné molekuly ( železo 2)</w:t>
      </w:r>
    </w:p>
    <w:p w:rsidR="002862A0" w:rsidRPr="002862A0" w:rsidRDefault="002862A0" w:rsidP="002862A0">
      <w:pPr>
        <w:rPr>
          <w:i/>
        </w:rPr>
      </w:pPr>
      <w:r w:rsidRPr="002862A0">
        <w:rPr>
          <w:i/>
        </w:rPr>
        <w:t>I – proud (A)</w:t>
      </w:r>
    </w:p>
    <w:p w:rsidR="002862A0" w:rsidRPr="002862A0" w:rsidRDefault="002862A0" w:rsidP="002862A0">
      <w:pPr>
        <w:rPr>
          <w:i/>
          <w:vertAlign w:val="superscript"/>
        </w:rPr>
      </w:pPr>
      <w:r w:rsidRPr="002862A0">
        <w:rPr>
          <w:i/>
        </w:rPr>
        <w:t>t – čas (s) rok – 365*24*3600 = 31,5 . 10</w:t>
      </w:r>
      <w:r w:rsidRPr="002862A0">
        <w:rPr>
          <w:i/>
          <w:vertAlign w:val="superscript"/>
        </w:rPr>
        <w:t>6</w:t>
      </w:r>
    </w:p>
    <w:p w:rsidR="002862A0" w:rsidRPr="002862A0" w:rsidRDefault="002862A0" w:rsidP="002862A0">
      <w:pPr>
        <w:rPr>
          <w:rFonts w:cs="Arial"/>
        </w:rPr>
      </w:pPr>
    </w:p>
    <w:p w:rsidR="002862A0" w:rsidRPr="002862A0" w:rsidRDefault="002862A0" w:rsidP="002862A0">
      <w:pPr>
        <w:jc w:val="both"/>
        <w:rPr>
          <w:rFonts w:cs="Arial"/>
          <w:i/>
        </w:rPr>
      </w:pPr>
      <w:r w:rsidRPr="002862A0">
        <w:rPr>
          <w:rFonts w:cs="Arial"/>
          <w:i/>
        </w:rPr>
        <w:t>Pozn.: při proudu I = 1A se za rok vyloučí např.  9,127 kg železa.</w:t>
      </w:r>
    </w:p>
    <w:p w:rsidR="002862A0" w:rsidRPr="002862A0" w:rsidRDefault="002862A0" w:rsidP="002862A0">
      <m:oMathPara>
        <m:oMathParaPr>
          <m:jc m:val="left"/>
        </m:oMathParaPr>
        <m:oMath>
          <m:r>
            <w:rPr>
              <w:rFonts w:ascii="Cambria Math" w:hAnsi="Cambria Math"/>
            </w:rPr>
            <m:t>m=</m:t>
          </m:r>
          <m:f>
            <m:fPr>
              <m:ctrlPr>
                <w:rPr>
                  <w:rFonts w:ascii="Cambria Math" w:hAnsi="Cambria Math"/>
                  <w:i/>
                </w:rPr>
              </m:ctrlPr>
            </m:fPr>
            <m:num>
              <m:r>
                <w:rPr>
                  <w:rFonts w:ascii="Cambria Math" w:hAnsi="Cambria Math"/>
                </w:rPr>
                <m:t>55,854</m:t>
              </m:r>
            </m:num>
            <m:den>
              <m:sSup>
                <m:sSupPr>
                  <m:ctrlPr>
                    <w:rPr>
                      <w:rFonts w:ascii="Cambria Math" w:hAnsi="Cambria Math"/>
                      <w:i/>
                    </w:rPr>
                  </m:ctrlPr>
                </m:sSupPr>
                <m:e>
                  <m:r>
                    <w:rPr>
                      <w:rFonts w:ascii="Cambria Math" w:hAnsi="Cambria Math"/>
                    </w:rPr>
                    <m:t>9,65.10</m:t>
                  </m:r>
                </m:e>
                <m:sup>
                  <m:r>
                    <w:rPr>
                      <w:rFonts w:ascii="Cambria Math" w:hAnsi="Cambria Math"/>
                    </w:rPr>
                    <m:t>4</m:t>
                  </m:r>
                </m:sup>
              </m:sSup>
              <m:r>
                <w:rPr>
                  <w:rFonts w:ascii="Cambria Math" w:hAnsi="Cambria Math"/>
                </w:rPr>
                <m:t>.2</m:t>
              </m:r>
            </m:den>
          </m:f>
          <m:r>
            <w:rPr>
              <w:rFonts w:ascii="Cambria Math" w:hAnsi="Cambria Math"/>
            </w:rPr>
            <m:t>.1.</m:t>
          </m:r>
          <m:f>
            <m:fPr>
              <m:ctrlPr>
                <w:rPr>
                  <w:rFonts w:ascii="Cambria Math" w:hAnsi="Cambria Math"/>
                  <w:i/>
                </w:rPr>
              </m:ctrlPr>
            </m:fPr>
            <m:num>
              <m:sSup>
                <m:sSupPr>
                  <m:ctrlPr>
                    <w:rPr>
                      <w:rFonts w:ascii="Cambria Math" w:hAnsi="Cambria Math"/>
                      <w:i/>
                    </w:rPr>
                  </m:ctrlPr>
                </m:sSupPr>
                <m:e>
                  <m:r>
                    <w:rPr>
                      <w:rFonts w:ascii="Cambria Math" w:hAnsi="Cambria Math"/>
                    </w:rPr>
                    <m:t>31,5.10</m:t>
                  </m:r>
                </m:e>
                <m:sup>
                  <m:r>
                    <w:rPr>
                      <w:rFonts w:ascii="Cambria Math" w:hAnsi="Cambria Math"/>
                    </w:rPr>
                    <m:t>6</m:t>
                  </m:r>
                </m:sup>
              </m:sSup>
            </m:num>
            <m:den>
              <m:r>
                <w:rPr>
                  <w:rFonts w:ascii="Cambria Math" w:hAnsi="Cambria Math"/>
                </w:rPr>
                <m:t>1000</m:t>
              </m:r>
            </m:den>
          </m:f>
          <m:r>
            <w:rPr>
              <w:rFonts w:ascii="Cambria Math" w:hAnsi="Cambria Math"/>
            </w:rPr>
            <m:t>=9,15kg</m:t>
          </m:r>
        </m:oMath>
      </m:oMathPara>
    </w:p>
    <w:p w:rsidR="002862A0" w:rsidRPr="002862A0" w:rsidRDefault="002862A0" w:rsidP="002862A0">
      <w:pPr>
        <w:jc w:val="both"/>
        <w:rPr>
          <w:rFonts w:cs="Arial"/>
          <w:b/>
        </w:rPr>
      </w:pPr>
      <w:r w:rsidRPr="002862A0">
        <w:rPr>
          <w:rFonts w:cs="Arial"/>
          <w:b/>
        </w:rPr>
        <w:t>Jestliže ale tento 1 A má více přechodů v sérii, je vylučované množství násobeno počtem přechodů.</w:t>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3" w:name="_Toc456185618"/>
      <w:r w:rsidRPr="002862A0">
        <w:rPr>
          <w:rFonts w:eastAsiaTheme="majorEastAsia"/>
          <w:u w:val="single"/>
        </w:rPr>
        <w:t>Podmínky pro únik zpětných trakčních proudů z kolejiště</w:t>
      </w:r>
      <w:bookmarkEnd w:id="33"/>
    </w:p>
    <w:p w:rsidR="002862A0" w:rsidRPr="002862A0" w:rsidRDefault="002862A0" w:rsidP="002862A0">
      <w:pPr>
        <w:jc w:val="both"/>
        <w:rPr>
          <w:rFonts w:cs="Arial"/>
        </w:rPr>
      </w:pPr>
      <w:r w:rsidRPr="002862A0">
        <w:rPr>
          <w:rFonts w:cs="Arial"/>
        </w:rPr>
        <w:t>Vodivost zpětné trakční cesty</w:t>
      </w:r>
    </w:p>
    <w:p w:rsidR="002862A0" w:rsidRPr="002862A0" w:rsidRDefault="002862A0" w:rsidP="002862A0">
      <w:pPr>
        <w:jc w:val="both"/>
        <w:rPr>
          <w:rFonts w:cs="Arial"/>
        </w:rPr>
      </w:pPr>
      <w:r w:rsidRPr="002862A0">
        <w:rPr>
          <w:rFonts w:cs="Arial"/>
        </w:rPr>
        <w:t>Ukolejnění /ČSN 34 1500/</w:t>
      </w:r>
    </w:p>
    <w:p w:rsidR="002862A0" w:rsidRPr="002862A0" w:rsidRDefault="002862A0" w:rsidP="002862A0">
      <w:pPr>
        <w:jc w:val="both"/>
        <w:rPr>
          <w:rFonts w:cs="Arial"/>
        </w:rPr>
      </w:pPr>
      <w:r w:rsidRPr="002862A0">
        <w:rPr>
          <w:rFonts w:cs="Arial"/>
        </w:rPr>
        <w:t>Izolace mezi kolejnicí a zemí</w:t>
      </w:r>
    </w:p>
    <w:p w:rsidR="002862A0" w:rsidRPr="002862A0" w:rsidRDefault="002862A0" w:rsidP="002862A0">
      <w:pPr>
        <w:jc w:val="both"/>
        <w:rPr>
          <w:rFonts w:cs="Arial"/>
        </w:rPr>
      </w:pPr>
      <w:r w:rsidRPr="002862A0">
        <w:rPr>
          <w:rFonts w:cs="Arial"/>
        </w:rPr>
        <w:t>Provedení umělých staveb /mosty/</w:t>
      </w:r>
    </w:p>
    <w:p w:rsidR="002862A0" w:rsidRPr="002862A0" w:rsidRDefault="002862A0" w:rsidP="002862A0">
      <w:pPr>
        <w:jc w:val="both"/>
        <w:rPr>
          <w:rFonts w:cs="Arial"/>
        </w:rPr>
      </w:pPr>
      <w:r w:rsidRPr="002862A0">
        <w:rPr>
          <w:rFonts w:cs="Arial"/>
        </w:rPr>
        <w:t>Odizolování neelektrifikovaných tratí</w:t>
      </w:r>
    </w:p>
    <w:p w:rsidR="002862A0" w:rsidRPr="002862A0" w:rsidRDefault="002862A0" w:rsidP="002862A0">
      <w:pPr>
        <w:jc w:val="both"/>
        <w:rPr>
          <w:rFonts w:cs="Arial"/>
        </w:rPr>
      </w:pPr>
      <w:r w:rsidRPr="002862A0">
        <w:rPr>
          <w:rFonts w:cs="Arial"/>
        </w:rPr>
        <w:t xml:space="preserve">Vzdálenost napájecích stanic </w:t>
      </w:r>
    </w:p>
    <w:p w:rsidR="002862A0" w:rsidRPr="002862A0" w:rsidRDefault="002862A0" w:rsidP="002862A0">
      <w:pPr>
        <w:jc w:val="both"/>
        <w:rPr>
          <w:rFonts w:cs="Arial"/>
        </w:rPr>
      </w:pPr>
      <w:r w:rsidRPr="002862A0">
        <w:rPr>
          <w:rFonts w:cs="Arial"/>
        </w:rPr>
        <w:t>Trakční odběr</w:t>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4" w:name="_Toc456185619"/>
      <w:r w:rsidRPr="002862A0">
        <w:rPr>
          <w:rFonts w:eastAsiaTheme="majorEastAsia"/>
          <w:u w:val="single"/>
        </w:rPr>
        <w:t>Účinky bludných proudů</w:t>
      </w:r>
      <w:bookmarkEnd w:id="34"/>
    </w:p>
    <w:p w:rsidR="002862A0" w:rsidRPr="002862A0" w:rsidRDefault="002862A0" w:rsidP="002862A0">
      <w:pPr>
        <w:jc w:val="both"/>
        <w:rPr>
          <w:rFonts w:cs="Arial"/>
        </w:rPr>
      </w:pPr>
      <w:r w:rsidRPr="002862A0">
        <w:rPr>
          <w:rFonts w:cs="Arial"/>
        </w:rPr>
        <w:t>Elektrolytická koroze</w:t>
      </w:r>
    </w:p>
    <w:p w:rsidR="002862A0" w:rsidRPr="002862A0" w:rsidRDefault="002862A0" w:rsidP="002862A0">
      <w:pPr>
        <w:jc w:val="both"/>
        <w:rPr>
          <w:rFonts w:cs="Arial"/>
        </w:rPr>
      </w:pPr>
      <w:r w:rsidRPr="002862A0">
        <w:rPr>
          <w:rFonts w:cs="Arial"/>
        </w:rPr>
        <w:t>Riziko požáru</w:t>
      </w:r>
    </w:p>
    <w:p w:rsidR="002862A0" w:rsidRPr="002862A0" w:rsidRDefault="002862A0" w:rsidP="002862A0">
      <w:pPr>
        <w:jc w:val="both"/>
        <w:rPr>
          <w:rFonts w:cs="Arial"/>
        </w:rPr>
      </w:pPr>
      <w:r w:rsidRPr="002862A0">
        <w:rPr>
          <w:rFonts w:cs="Arial"/>
        </w:rPr>
        <w:t>Ovlivnění bezpečnosti žel. dopravy</w:t>
      </w:r>
    </w:p>
    <w:p w:rsidR="002862A0" w:rsidRPr="002862A0" w:rsidRDefault="002862A0" w:rsidP="002862A0">
      <w:pPr>
        <w:jc w:val="both"/>
        <w:rPr>
          <w:rFonts w:cs="Arial"/>
        </w:rPr>
      </w:pPr>
      <w:r w:rsidRPr="002862A0">
        <w:rPr>
          <w:rFonts w:cs="Arial"/>
        </w:rPr>
        <w:t>Ovlivnění aktivně chráněných zařízení</w:t>
      </w:r>
    </w:p>
    <w:p w:rsidR="002862A0" w:rsidRPr="002862A0" w:rsidRDefault="002862A0" w:rsidP="002862A0">
      <w:pPr>
        <w:jc w:val="both"/>
        <w:rPr>
          <w:rFonts w:cs="Arial"/>
        </w:rPr>
      </w:pPr>
      <w:r w:rsidRPr="002862A0">
        <w:rPr>
          <w:rFonts w:cs="Arial"/>
        </w:rPr>
        <w:t>Ovlivnění jiných AC nebo DC soustav</w:t>
      </w:r>
    </w:p>
    <w:p w:rsidR="002862A0" w:rsidRPr="002862A0" w:rsidRDefault="002862A0" w:rsidP="002862A0">
      <w:pPr>
        <w:jc w:val="both"/>
        <w:rPr>
          <w:rFonts w:cs="Arial"/>
        </w:rPr>
      </w:pPr>
      <w:r w:rsidRPr="002862A0">
        <w:rPr>
          <w:rFonts w:cs="Arial"/>
        </w:rPr>
        <w:t>Opalování izolovaných styků</w:t>
      </w:r>
    </w:p>
    <w:p w:rsidR="002862A0" w:rsidRPr="002862A0" w:rsidRDefault="002862A0" w:rsidP="002862A0">
      <w:pPr>
        <w:jc w:val="both"/>
        <w:rPr>
          <w:rFonts w:cs="Arial"/>
        </w:rPr>
      </w:pPr>
      <w:r w:rsidRPr="002862A0">
        <w:rPr>
          <w:rFonts w:cs="Arial"/>
        </w:rPr>
        <w:t>Koroze zemnících sítí TNS</w:t>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5" w:name="_Toc456185620"/>
      <w:r w:rsidRPr="002862A0">
        <w:rPr>
          <w:rFonts w:eastAsiaTheme="majorEastAsia"/>
          <w:u w:val="single"/>
        </w:rPr>
        <w:t>Trakční koleje s nízkým izolačním stavem</w:t>
      </w:r>
      <w:bookmarkEnd w:id="35"/>
    </w:p>
    <w:p w:rsidR="002862A0" w:rsidRPr="002862A0" w:rsidRDefault="002862A0" w:rsidP="002862A0">
      <w:pPr>
        <w:jc w:val="both"/>
        <w:rPr>
          <w:rFonts w:cs="Arial"/>
        </w:rPr>
      </w:pPr>
      <w:r w:rsidRPr="002862A0">
        <w:rPr>
          <w:rFonts w:cs="Arial"/>
        </w:rPr>
        <w:tab/>
        <w:t xml:space="preserve">Jedná se o nerekonstruované tratě, kde se izolační stav kolejí proti zemi pohybuje řádově v jednotkách ohmů. Značná část zpětných trakčních proudů přechází z kolejí do země, kde následně teče jako bludný proud zemí, případně kovovými úložnými zařízeními zpět ke svému zdroji – trakční měnírně. K únikům bludných proudů dochází však i při propojení úložného zařízení s trakční kolejí, které může nastat při nedodržení ČSN 34 1500, kde je zakázáno používat v prostoru ohrožení trakčním vedením (dále jen POTV) současně ochranu ukolejněním a nulováním a to i v případě ukolejnění přes průrazku. Bývá rovněž častým jevem, že se kolejnice (v případě neelektrizovaných tratí) používá jako zemnič a to zvláště u firem v blízkosti kolejí, kde jsou elektrická zařízení se standardní ochranou před nebezpečným dotykovým napětím. Tímto propojením ochranného vodiče s kolejí může dojít k výraznému zvýšení napětí přes izolovaný styk, oddělující elektrizovanou trať od neelektrizované a jeho poškození při přejezdu vlakové soupravy. Takový izolovaný styk přestává plnit svoji funkci a stává se vodivým nebo částečně vodivým a dochází tak k propojení trakční koleje s již zmíněným ochranným vodičem. Bludný proud se následně dostává na veškerá úložná zařízení, která jsou s ochranným vodičem propojena, nebo je ochranným vodičem příp. zemnícím lanem veden na velké vzdálenosti a v blízkosti trakční měnírny způsobuje korozi bludnými proudy. Celkovou situaci pochopitelně zhoršují vadné jednorázové průrazky a přímá ukolejnění. </w:t>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6" w:name="_Toc456185621"/>
      <w:r w:rsidRPr="002862A0">
        <w:rPr>
          <w:rFonts w:eastAsiaTheme="majorEastAsia"/>
          <w:u w:val="single"/>
        </w:rPr>
        <w:t>Jednostranně napájené trati</w:t>
      </w:r>
      <w:bookmarkEnd w:id="36"/>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ab/>
        <w:t xml:space="preserve">U jednostranně napájených tratí je únik zpětných trakčních proudů ovlivněn značným úbytkem napětí proti vzdálené zemi v koncovém bodě trakčního napájení, kdy při trakčním odběru se veškerý trakční proud musí vrátit  pouze k jednomu zdroji. Jakákoliv závada ve zpětné trakční cestě (např. upadlá propojka apod) toto napětí ještě zvyšuje (v závislosti na závažnosti závady a jejím umístění) a svým působením zvyšuje korozní ohrožení. Vzhledem k vysokým úbytkům napětí má zpětný trakční proud snahu vracet se zemí také prostřednictvím neelektrifikovaných úseků a to </w:t>
      </w:r>
      <w:r w:rsidRPr="002862A0">
        <w:rPr>
          <w:rFonts w:eastAsia="Times New Roman" w:cs="Arial"/>
          <w:bCs/>
        </w:rPr>
        <w:lastRenderedPageBreak/>
        <w:t xml:space="preserve">především ve svém koncovém bodě (bez trakčního napájení), kde může být  zavlečen kolejemi do značných vzdáleností od elektrické trakce a při návratu bludných proudů zemí může způsobovat korozní ohrožení i vzdálených úložných zařízení. </w:t>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7" w:name="_Toc456185622"/>
      <w:r w:rsidRPr="002862A0">
        <w:rPr>
          <w:rFonts w:eastAsiaTheme="majorEastAsia"/>
          <w:u w:val="single"/>
        </w:rPr>
        <w:t>Charakteristika nerekonstruované trati</w:t>
      </w:r>
      <w:bookmarkEnd w:id="37"/>
      <w:r w:rsidRPr="002862A0">
        <w:rPr>
          <w:rFonts w:eastAsiaTheme="majorEastAsia"/>
          <w:u w:val="single"/>
        </w:rPr>
        <w:t xml:space="preserve"> </w:t>
      </w:r>
    </w:p>
    <w:p w:rsidR="002862A0" w:rsidRPr="002862A0" w:rsidRDefault="002862A0" w:rsidP="002862A0">
      <w:pPr>
        <w:jc w:val="both"/>
        <w:rPr>
          <w:rFonts w:cs="Arial"/>
        </w:rPr>
      </w:pPr>
      <w:r w:rsidRPr="002862A0">
        <w:rPr>
          <w:rFonts w:cs="Arial"/>
        </w:rPr>
        <w:t>Izolační stav kolejí proti zemí v řádech jednotek ohmů</w:t>
      </w:r>
    </w:p>
    <w:p w:rsidR="002862A0" w:rsidRPr="002862A0" w:rsidRDefault="002862A0" w:rsidP="002862A0">
      <w:pPr>
        <w:jc w:val="both"/>
        <w:rPr>
          <w:rFonts w:cs="Arial"/>
        </w:rPr>
      </w:pPr>
      <w:r w:rsidRPr="002862A0">
        <w:rPr>
          <w:rFonts w:cs="Arial"/>
        </w:rPr>
        <w:t>Vyšší podélný odpor kolejí (propojky)</w:t>
      </w:r>
    </w:p>
    <w:p w:rsidR="002862A0" w:rsidRPr="002862A0" w:rsidRDefault="002862A0" w:rsidP="002862A0">
      <w:pPr>
        <w:jc w:val="both"/>
        <w:rPr>
          <w:rFonts w:cs="Arial"/>
        </w:rPr>
      </w:pPr>
      <w:r w:rsidRPr="002862A0">
        <w:rPr>
          <w:rFonts w:cs="Arial"/>
        </w:rPr>
        <w:t>Nízký potenciál kolejí proti zemi</w:t>
      </w:r>
    </w:p>
    <w:p w:rsidR="002862A0" w:rsidRPr="002862A0" w:rsidRDefault="002862A0" w:rsidP="002862A0">
      <w:pPr>
        <w:jc w:val="both"/>
        <w:rPr>
          <w:rFonts w:cs="Arial"/>
        </w:rPr>
      </w:pPr>
      <w:r w:rsidRPr="002862A0">
        <w:rPr>
          <w:rFonts w:cs="Arial"/>
        </w:rPr>
        <w:t>Anodická pásma v blízkosti měníren</w:t>
      </w:r>
    </w:p>
    <w:p w:rsidR="002862A0" w:rsidRPr="002862A0" w:rsidRDefault="002862A0" w:rsidP="002862A0">
      <w:pPr>
        <w:jc w:val="both"/>
        <w:rPr>
          <w:rFonts w:cs="Arial"/>
        </w:rPr>
      </w:pPr>
      <w:r w:rsidRPr="002862A0">
        <w:rPr>
          <w:rFonts w:cs="Arial"/>
        </w:rPr>
        <w:t>Únik bludných proudů po celé délce trati</w:t>
      </w:r>
    </w:p>
    <w:p w:rsidR="002862A0" w:rsidRPr="002862A0" w:rsidRDefault="002862A0" w:rsidP="002862A0">
      <w:pPr>
        <w:jc w:val="both"/>
        <w:rPr>
          <w:rFonts w:cs="Arial"/>
        </w:rPr>
      </w:pPr>
    </w:p>
    <w:p w:rsidR="002862A0" w:rsidRPr="002862A0" w:rsidRDefault="002862A0" w:rsidP="002862A0">
      <w:pPr>
        <w:jc w:val="both"/>
        <w:rPr>
          <w:rFonts w:cs="Arial"/>
        </w:rPr>
      </w:pPr>
      <w:r w:rsidRPr="002862A0">
        <w:rPr>
          <w:rFonts w:cs="Arial"/>
        </w:rPr>
        <w:t>Obr: DC elektrizovaná trať s nízkým izolačním stavem</w:t>
      </w:r>
    </w:p>
    <w:p w:rsidR="002862A0" w:rsidRPr="002862A0" w:rsidRDefault="002862A0" w:rsidP="002862A0">
      <w:pPr>
        <w:jc w:val="both"/>
        <w:rPr>
          <w:rFonts w:cs="Arial"/>
        </w:rPr>
      </w:pPr>
      <w:r w:rsidRPr="002862A0">
        <w:rPr>
          <w:rFonts w:cs="Arial"/>
          <w:noProof/>
        </w:rPr>
        <w:drawing>
          <wp:inline distT="0" distB="0" distL="0" distR="0" wp14:anchorId="73346C5A" wp14:editId="3D2DB00E">
            <wp:extent cx="4572635" cy="3429635"/>
            <wp:effectExtent l="0" t="0" r="0" b="0"/>
            <wp:docPr id="23" name="obráze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2862A0" w:rsidRPr="002862A0" w:rsidRDefault="002862A0" w:rsidP="002862A0">
      <w:pPr>
        <w:jc w:val="both"/>
        <w:rPr>
          <w:rFonts w:cs="Arial"/>
        </w:rPr>
      </w:pPr>
    </w:p>
    <w:p w:rsidR="002862A0" w:rsidRPr="002862A0" w:rsidRDefault="002862A0" w:rsidP="00061ECF">
      <w:pPr>
        <w:rPr>
          <w:rFonts w:eastAsiaTheme="majorEastAsia"/>
          <w:u w:val="single"/>
        </w:rPr>
      </w:pPr>
      <w:bookmarkStart w:id="38" w:name="_Toc456185623"/>
      <w:r w:rsidRPr="002862A0">
        <w:rPr>
          <w:rFonts w:eastAsiaTheme="majorEastAsia"/>
          <w:u w:val="single"/>
        </w:rPr>
        <w:t>Koleje po rekonstrukci</w:t>
      </w:r>
      <w:bookmarkEnd w:id="38"/>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V souvislosti s výstavbou nových stejnosměrně elektrizovaných koridorových tratí resp. při jejich rekonstrukci, se zásadním způsobem mění  elektrické parametry železničního svršku. Používáním nových technologií odizolování kolejových pásů od pražců, ukolejňováním přes regenerovatelné průrazky, důsledným odizolováním netrakčních kolejí a v neposlední řadě i omezeným používáním drenážních ochran dochází k výraznému zvýšení přechodového odporu kolej </w:t>
      </w:r>
      <w:r w:rsidRPr="002862A0">
        <w:rPr>
          <w:rFonts w:eastAsia="Times New Roman" w:cs="Arial"/>
          <w:bCs/>
        </w:rPr>
        <w:lastRenderedPageBreak/>
        <w:t xml:space="preserve">– zem. Tyto vysoké hodnoty přechodového odporu mnohdy převyšující hodnotu 100 </w:t>
      </w:r>
      <w:r w:rsidRPr="002862A0">
        <w:rPr>
          <w:rFonts w:eastAsia="Times New Roman" w:cs="Arial"/>
          <w:bCs/>
        </w:rPr>
        <w:sym w:font="Symbol" w:char="F057"/>
      </w:r>
      <w:r w:rsidRPr="002862A0">
        <w:rPr>
          <w:rFonts w:eastAsia="Times New Roman" w:cs="Arial"/>
          <w:bCs/>
        </w:rPr>
        <w:t>km</w:t>
      </w:r>
      <w:r w:rsidR="00623A1B">
        <w:rPr>
          <w:rFonts w:eastAsia="Times New Roman" w:cs="Arial"/>
          <w:bCs/>
        </w:rPr>
        <w:t xml:space="preserve"> a</w:t>
      </w:r>
      <w:r w:rsidRPr="002862A0">
        <w:rPr>
          <w:rFonts w:eastAsia="Times New Roman" w:cs="Arial"/>
          <w:bCs/>
        </w:rPr>
        <w:t xml:space="preserve"> výrazně omezují úniky bludných proudů do země, což se m.j. pozitivně projevuje snížením korozního ohrožení kovových úložných zařízení v blízkosti trati. Mnohdy se zde rovněž zásadním způsobem mění rozložení anodických a katodických oblastí,  které bývají mnohem méně zřetelné, než v případě nerekonstruovaných tratí a korozní ohrožení úložných zařízení se v omezené míře soustředí do míst, kde se bludný proud může dostat zpět do kolejí a dále do příslušné měnírny. Může to být například železniční stanice s přímým ukolejněním trakčních odpojovačů, v jejíž blízkosti se nacházejí úložná zařízení a rozsáhlé zemnící sítě. V tomto místě může přecházet bludný proud z úložného zařízení přes ukolejnění do kolejí a dále ke zdroji. Naopak v blízkosti některých měníren umístěných na širé trati je návrat bludného proudu vzhledem k vysokému izolačnímu odporu kolejí proti zemi velmi omezený.</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Zvýšení izolačního stavu kolejí s sebou ovšem nese i své negativní důsledky. Jedním z nich je řádové zvýšení potenciálu kolejí proti vzdálené zemi, resp. proti kovovému úložnému zařízení v blízkosti trati. . Je to dáno m.j. i tím, že prakticky veškerý zpětný trakční proud teče kolejí a v důsledku toho vznikají i velké úbytky napětí mezi trakčním záběrem a trakční měnírnou.  Každá porucha v ukolejněním však může mít velmi negativní vliv na korozi kovového zařízení, které je galvanicky propojeno s trakční kolejí. Vlivem vadné průrazky může dojít i k poškození základu trakční podpěry.</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Pr>
          <w:rFonts w:eastAsia="Times New Roman" w:cs="Arial"/>
          <w:bCs/>
        </w:rPr>
        <w:t>O</w:t>
      </w:r>
      <w:r w:rsidRPr="002862A0">
        <w:rPr>
          <w:rFonts w:eastAsia="Times New Roman" w:cs="Arial"/>
          <w:bCs/>
        </w:rPr>
        <w:t>br: Koroze betonového základu trakční podpěry</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noProof/>
        </w:rPr>
        <w:drawing>
          <wp:inline distT="0" distB="0" distL="0" distR="0" wp14:anchorId="1CC7F090" wp14:editId="3D64983C">
            <wp:extent cx="4428944" cy="4684143"/>
            <wp:effectExtent l="0" t="0" r="0" b="2540"/>
            <wp:docPr id="24" name="Picture 4" descr="TP 01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P 011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33771" cy="4689248"/>
                    </a:xfrm>
                    <a:prstGeom prst="rect">
                      <a:avLst/>
                    </a:prstGeom>
                    <a:noFill/>
                    <a:ln>
                      <a:noFill/>
                    </a:ln>
                  </pic:spPr>
                </pic:pic>
              </a:graphicData>
            </a:graphic>
          </wp:inline>
        </w:drawing>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lastRenderedPageBreak/>
        <w:t>Obecně lze tedy konstatovat, že poruchové stavy na rekonstruovaných tratích jsou sice mnohem méně časté než na nerekonstruovaných, o to však mohou být závažnější. Velmi důležité je si uvědomit, že každé připojení kovového zařízení k trakčním kolejím podléhá přísným zásadám a je vždy třeba mít souhlas správce zařízení – Správy železniční dopravní cesty.</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jc w:val="both"/>
        <w:rPr>
          <w:rFonts w:cs="Arial"/>
        </w:rPr>
      </w:pPr>
      <w:r w:rsidRPr="002862A0">
        <w:rPr>
          <w:rFonts w:cs="Arial"/>
        </w:rPr>
        <w:t>Obr: DC elektrizovaná trať s vysokým izolačním stavem</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noProof/>
        </w:rPr>
        <w:drawing>
          <wp:inline distT="0" distB="0" distL="0" distR="0" wp14:anchorId="5730FA0E" wp14:editId="0CF5D723">
            <wp:extent cx="4572635" cy="3429635"/>
            <wp:effectExtent l="0" t="0" r="0" b="0"/>
            <wp:docPr id="25" name="obrázek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061ECF">
      <w:pPr>
        <w:rPr>
          <w:rFonts w:eastAsiaTheme="majorEastAsia"/>
          <w:u w:val="single"/>
        </w:rPr>
      </w:pPr>
      <w:bookmarkStart w:id="39" w:name="_Toc456185624"/>
      <w:r w:rsidRPr="002862A0">
        <w:rPr>
          <w:rFonts w:eastAsiaTheme="majorEastAsia"/>
          <w:u w:val="single"/>
        </w:rPr>
        <w:t>Charakteristika rekonstruované trati</w:t>
      </w:r>
      <w:bookmarkEnd w:id="39"/>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Vysoký izolační stav kolejí proti zemí</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Nižší podélný odpor kolejí (svařované kolejnice)</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Vyšší potenciál kolejí proti zemi</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Vyšší úbytky napětí v kolejích (vlivem vysokého izolačního stavu a stále se zvyšujícím výkonům trakčních vozidel)</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Atypické rozložení anodických pásem</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Únik bludných proudů po délce trati výrazně nižší, mohou se soustředit do míst s nízkým izolačním stavem (vadné ukolejnění)</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Z důvodu vyšších úbytků napětí na trakčních kolejích může docházet při vyšších trakčních odběrech k výraznějšímu snížení napětí v troleji, především při výluce trakční měnírny a rovněž u jednostranně napájených tratí.</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Vlivem výše uvedených skutečností může docházet k negativním jevům hoření a jiskření na IS</w:t>
      </w:r>
    </w:p>
    <w:p w:rsidR="002862A0" w:rsidRPr="002862A0" w:rsidRDefault="002862A0" w:rsidP="002862A0">
      <w:pPr>
        <w:numPr>
          <w:ilvl w:val="0"/>
          <w:numId w:val="39"/>
        </w:numPr>
        <w:spacing w:after="0" w:line="240" w:lineRule="auto"/>
        <w:jc w:val="both"/>
        <w:rPr>
          <w:rFonts w:eastAsia="Times New Roman" w:cs="Arial"/>
          <w:bCs/>
        </w:rPr>
      </w:pPr>
      <w:r w:rsidRPr="002862A0">
        <w:rPr>
          <w:rFonts w:eastAsia="Times New Roman" w:cs="Arial"/>
          <w:bCs/>
        </w:rPr>
        <w:t>Vliv kolejových obvodů (dále jen KO) na podélný odpor zpětné trakční cesty</w:t>
      </w:r>
    </w:p>
    <w:p w:rsidR="002862A0" w:rsidRPr="002862A0" w:rsidRDefault="002862A0" w:rsidP="002862A0">
      <w:pPr>
        <w:spacing w:after="0" w:line="240" w:lineRule="auto"/>
        <w:ind w:left="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Vliv </w:t>
      </w:r>
      <w:r w:rsidR="00623A1B">
        <w:rPr>
          <w:rFonts w:eastAsia="Times New Roman" w:cs="Arial"/>
          <w:bCs/>
        </w:rPr>
        <w:t xml:space="preserve">používaného </w:t>
      </w:r>
      <w:r w:rsidRPr="002862A0">
        <w:rPr>
          <w:rFonts w:eastAsia="Times New Roman" w:cs="Arial"/>
          <w:bCs/>
        </w:rPr>
        <w:t xml:space="preserve">zabezpečovacího zařízení má nezanedbatelný vliv na celkový podélný odpor. Jsou především stykové transformátory s přípojnými lany včetně napojení na trakční kolejnici. </w:t>
      </w:r>
      <w:r w:rsidRPr="002862A0">
        <w:rPr>
          <w:rFonts w:eastAsia="Times New Roman" w:cs="Arial"/>
          <w:bCs/>
        </w:rPr>
        <w:lastRenderedPageBreak/>
        <w:t xml:space="preserve">V případě, že nejsou propojeny středy stykových transformátorů se cesta zpětného trakčního proudu úměrně prodlužuje, což zvyšuje úbytek napětí na zpětné trakční cestě, který se m.j. projevuje zvýšením napětí přes tento IS. Při přejezdu vlakové soupravy se může projevit jiskření za posledním dvojkolím vlaku a dle intensity výboje i jeho poškození. Zvláštním případem je dvojitá kolejová spojka (DKS), na které se významným způsobem projevuje úbytek napětí. V každém případě KO zvyšují celkový podélný odpor zpětné trakční cesty a tím i úbytek napětí na trakčních kolejích, velmi důležitá je však údržba a kontrola připojení lan k trakčním kolejnicím a stykovým transformátorům. </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Nevýhody KO: </w:t>
      </w:r>
    </w:p>
    <w:p w:rsidR="002862A0" w:rsidRPr="002862A0" w:rsidRDefault="002862A0" w:rsidP="002862A0">
      <w:pPr>
        <w:numPr>
          <w:ilvl w:val="0"/>
          <w:numId w:val="40"/>
        </w:numPr>
        <w:spacing w:after="0" w:line="240" w:lineRule="auto"/>
        <w:jc w:val="both"/>
        <w:rPr>
          <w:rFonts w:eastAsia="Times New Roman" w:cs="Arial"/>
          <w:bCs/>
        </w:rPr>
      </w:pPr>
      <w:r w:rsidRPr="002862A0">
        <w:rPr>
          <w:rFonts w:eastAsia="Times New Roman" w:cs="Arial"/>
          <w:bCs/>
        </w:rPr>
        <w:t>Zvyšování podélného odporu ZTC</w:t>
      </w:r>
    </w:p>
    <w:p w:rsidR="002862A0" w:rsidRPr="002862A0" w:rsidRDefault="002862A0" w:rsidP="002862A0">
      <w:pPr>
        <w:numPr>
          <w:ilvl w:val="0"/>
          <w:numId w:val="40"/>
        </w:numPr>
        <w:spacing w:after="0" w:line="240" w:lineRule="auto"/>
        <w:jc w:val="both"/>
        <w:rPr>
          <w:rFonts w:eastAsia="Times New Roman" w:cs="Arial"/>
          <w:bCs/>
        </w:rPr>
      </w:pPr>
      <w:r w:rsidRPr="002862A0">
        <w:rPr>
          <w:rFonts w:eastAsia="Times New Roman" w:cs="Arial"/>
          <w:bCs/>
        </w:rPr>
        <w:t>V některých případech poškození IS vlivem jiskření</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Výhody KO: </w:t>
      </w:r>
      <w:r w:rsidRPr="002862A0">
        <w:rPr>
          <w:rFonts w:eastAsia="Times New Roman" w:cs="Arial"/>
          <w:bCs/>
        </w:rPr>
        <w:tab/>
      </w:r>
      <w:r w:rsidRPr="002862A0">
        <w:rPr>
          <w:rFonts w:eastAsia="Times New Roman" w:cs="Arial"/>
          <w:bCs/>
        </w:rPr>
        <w:tab/>
      </w:r>
    </w:p>
    <w:p w:rsidR="002862A0" w:rsidRPr="002862A0" w:rsidRDefault="002862A0" w:rsidP="002862A0">
      <w:pPr>
        <w:numPr>
          <w:ilvl w:val="0"/>
          <w:numId w:val="41"/>
        </w:numPr>
        <w:spacing w:after="0" w:line="240" w:lineRule="auto"/>
        <w:jc w:val="both"/>
        <w:rPr>
          <w:rFonts w:eastAsia="Times New Roman" w:cs="Arial"/>
          <w:bCs/>
        </w:rPr>
      </w:pPr>
      <w:r w:rsidRPr="002862A0">
        <w:rPr>
          <w:rFonts w:eastAsia="Times New Roman" w:cs="Arial"/>
          <w:bCs/>
        </w:rPr>
        <w:t>Průběžné zjišťování celistvosti koleje</w:t>
      </w:r>
    </w:p>
    <w:p w:rsidR="002862A0" w:rsidRPr="002862A0" w:rsidRDefault="002862A0" w:rsidP="002862A0">
      <w:pPr>
        <w:numPr>
          <w:ilvl w:val="0"/>
          <w:numId w:val="41"/>
        </w:numPr>
        <w:spacing w:after="0" w:line="240" w:lineRule="auto"/>
        <w:jc w:val="both"/>
        <w:rPr>
          <w:rFonts w:eastAsia="Times New Roman" w:cs="Arial"/>
          <w:bCs/>
        </w:rPr>
      </w:pPr>
      <w:r w:rsidRPr="002862A0">
        <w:rPr>
          <w:rFonts w:eastAsia="Times New Roman" w:cs="Arial"/>
          <w:bCs/>
        </w:rPr>
        <w:t xml:space="preserve">Možnost přesného měření izolačního stavu kolejí </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061ECF">
      <w:pPr>
        <w:rPr>
          <w:rFonts w:eastAsiaTheme="majorEastAsia"/>
          <w:u w:val="single"/>
        </w:rPr>
      </w:pPr>
      <w:bookmarkStart w:id="40" w:name="_Toc456185625"/>
      <w:r w:rsidRPr="002862A0">
        <w:rPr>
          <w:rFonts w:eastAsiaTheme="majorEastAsia"/>
          <w:u w:val="single"/>
        </w:rPr>
        <w:t>Styk DC a AC trakčních proudových soustav</w:t>
      </w:r>
      <w:bookmarkEnd w:id="40"/>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Styk trakčních proudových soustav často představuje zátěžovou oblast při přejezdu vlakových souprav přes neutrální pole. DC trakce na koridorových tratích bývá izolačně dobře oddělena od země (vysoký izolační stav kolejí), AC trakce bývá často přizemněna a u AC TNS je trakční kolej na rozdíl od trakčních měníren propojena se zemnící sítí. V praxi proto mohou nastat následující situace:</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Společná AC + DC napájecí soustava – normálním stav napájení</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TNS společná pro obě soustavy v blízkosti dělení obou soustav. Obvykle není problém na neutrálním poli, úbytky napětí jsou vzhledem k umístění TNS minimální, při přejezdu vlakových souprav část zpětného proudu přechází přes vlakovou soupravu, jiskření na IS neutrálního pole je minimální. </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Společná AC + DC napájecí soustava – výluka DCTNS</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V tomto případě dochází k jednostranně napájenému úseku trati od nejbližší trakční měnírny k neutrálnímu poli. Nejvyšší úbytek napětí tak nastává při trakčním záběru na DC elektrizované trati v blízkosti neutrálního pole, tento úbytek napětí se projeví napětím přes IS. Při přejezdu vlakové soupravy přes neutrální pole pak může dojít k destrukci IS vlivem hoření </w:t>
      </w:r>
    </w:p>
    <w:p w:rsidR="002862A0" w:rsidRP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lastRenderedPageBreak/>
        <w:t>Obr: poškozený IS vlivem elektrického oblouku na styku trakčních soustav</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noProof/>
        </w:rPr>
        <w:drawing>
          <wp:inline distT="0" distB="0" distL="0" distR="0" wp14:anchorId="3EB3C8FD" wp14:editId="123258DF">
            <wp:extent cx="5219065" cy="3648710"/>
            <wp:effectExtent l="0" t="0" r="635" b="8890"/>
            <wp:docPr id="26" name="Picture 4" descr="n61-2k 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61-2k s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19065" cy="3648710"/>
                    </a:xfrm>
                    <a:prstGeom prst="rect">
                      <a:avLst/>
                    </a:prstGeom>
                    <a:noFill/>
                    <a:ln>
                      <a:noFill/>
                    </a:ln>
                  </pic:spPr>
                </pic:pic>
              </a:graphicData>
            </a:graphic>
          </wp:inline>
        </w:drawing>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 xml:space="preserve">Jednostranně napájený úsek trati k neutrálnímu poli  </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Obdobná problematika jako v předchozím případě, zde však záleží na délce úseku od trakční měnírny k neutrálnímu poli. Při výluce trakční měnírny se úbytek napětí zvyšuje o délku úseku k další trakční měnírně (viz obr…) Děčín – Dolní Žleb</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jc w:val="both"/>
        <w:rPr>
          <w:rFonts w:eastAsia="Times New Roman" w:cs="Arial"/>
          <w:bCs/>
        </w:rPr>
      </w:pPr>
      <w:r w:rsidRPr="002862A0">
        <w:rPr>
          <w:rFonts w:eastAsia="Times New Roman" w:cs="Arial"/>
          <w:bCs/>
        </w:rPr>
        <w:t>Obr: Přejezd vlakové soupravy přes neutrální pole DC a AC trati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46"/>
      </w:tblGrid>
      <w:tr w:rsidR="002862A0" w:rsidRPr="002862A0" w:rsidTr="003A5E4B">
        <w:tc>
          <w:tcPr>
            <w:tcW w:w="8046" w:type="dxa"/>
            <w:shd w:val="clear" w:color="auto" w:fill="auto"/>
          </w:tcPr>
          <w:p w:rsidR="002862A0" w:rsidRPr="002862A0" w:rsidRDefault="002862A0" w:rsidP="002862A0">
            <w:pPr>
              <w:jc w:val="both"/>
              <w:rPr>
                <w:rFonts w:cs="Arial"/>
              </w:rPr>
            </w:pPr>
            <w:r w:rsidRPr="002862A0">
              <w:rPr>
                <w:rFonts w:cs="Arial"/>
                <w:noProof/>
              </w:rPr>
              <w:drawing>
                <wp:inline distT="0" distB="0" distL="0" distR="0" wp14:anchorId="30881703" wp14:editId="6FE7AA2D">
                  <wp:extent cx="5144770" cy="3156585"/>
                  <wp:effectExtent l="0" t="0" r="0" b="5715"/>
                  <wp:docPr id="27" name="Obrázek 27" descr="Sníme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nímek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44770" cy="3156585"/>
                          </a:xfrm>
                          <a:prstGeom prst="rect">
                            <a:avLst/>
                          </a:prstGeom>
                          <a:noFill/>
                          <a:ln>
                            <a:noFill/>
                          </a:ln>
                        </pic:spPr>
                      </pic:pic>
                    </a:graphicData>
                  </a:graphic>
                </wp:inline>
              </w:drawing>
            </w:r>
          </w:p>
        </w:tc>
      </w:tr>
      <w:tr w:rsidR="002862A0" w:rsidRPr="002862A0" w:rsidTr="003A5E4B">
        <w:tc>
          <w:tcPr>
            <w:tcW w:w="8046" w:type="dxa"/>
            <w:shd w:val="clear" w:color="auto" w:fill="auto"/>
          </w:tcPr>
          <w:p w:rsidR="002862A0" w:rsidRPr="002862A0" w:rsidRDefault="002862A0" w:rsidP="002862A0">
            <w:pPr>
              <w:jc w:val="both"/>
              <w:rPr>
                <w:rFonts w:cs="Arial"/>
              </w:rPr>
            </w:pPr>
            <w:r w:rsidRPr="002862A0">
              <w:rPr>
                <w:rFonts w:cs="Arial"/>
              </w:rPr>
              <w:lastRenderedPageBreak/>
              <w:t>Přejezd vlakové soupravy přes neutrální pole, směr jízdy CZ</w:t>
            </w:r>
          </w:p>
        </w:tc>
      </w:tr>
      <w:tr w:rsidR="002862A0" w:rsidRPr="002862A0" w:rsidTr="003A5E4B">
        <w:tc>
          <w:tcPr>
            <w:tcW w:w="8046" w:type="dxa"/>
            <w:shd w:val="clear" w:color="auto" w:fill="auto"/>
          </w:tcPr>
          <w:p w:rsidR="002862A0" w:rsidRPr="002862A0" w:rsidRDefault="002862A0" w:rsidP="002862A0">
            <w:pPr>
              <w:jc w:val="both"/>
              <w:rPr>
                <w:rFonts w:cs="Arial"/>
              </w:rPr>
            </w:pPr>
            <w:r w:rsidRPr="002862A0">
              <w:rPr>
                <w:rFonts w:cs="Arial"/>
                <w:noProof/>
              </w:rPr>
              <w:drawing>
                <wp:inline distT="0" distB="0" distL="0" distR="0" wp14:anchorId="25786341" wp14:editId="16848577">
                  <wp:extent cx="5033010" cy="1964055"/>
                  <wp:effectExtent l="0" t="0" r="0" b="0"/>
                  <wp:docPr id="28" name="Obrázek 28" descr="Sníme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nímek2"/>
                          <pic:cNvPicPr>
                            <a:picLocks noChangeAspect="1" noChangeArrowheads="1"/>
                          </pic:cNvPicPr>
                        </pic:nvPicPr>
                        <pic:blipFill>
                          <a:blip r:embed="rId25">
                            <a:extLst>
                              <a:ext uri="{28A0092B-C50C-407E-A947-70E740481C1C}">
                                <a14:useLocalDpi xmlns:a14="http://schemas.microsoft.com/office/drawing/2010/main" val="0"/>
                              </a:ext>
                            </a:extLst>
                          </a:blip>
                          <a:srcRect b="54678"/>
                          <a:stretch>
                            <a:fillRect/>
                          </a:stretch>
                        </pic:blipFill>
                        <pic:spPr bwMode="auto">
                          <a:xfrm>
                            <a:off x="0" y="0"/>
                            <a:ext cx="5033010" cy="1964055"/>
                          </a:xfrm>
                          <a:prstGeom prst="rect">
                            <a:avLst/>
                          </a:prstGeom>
                          <a:noFill/>
                          <a:ln>
                            <a:noFill/>
                          </a:ln>
                        </pic:spPr>
                      </pic:pic>
                    </a:graphicData>
                  </a:graphic>
                </wp:inline>
              </w:drawing>
            </w:r>
          </w:p>
        </w:tc>
      </w:tr>
      <w:tr w:rsidR="002862A0" w:rsidRPr="002862A0" w:rsidTr="003A5E4B">
        <w:tc>
          <w:tcPr>
            <w:tcW w:w="8046" w:type="dxa"/>
            <w:shd w:val="clear" w:color="auto" w:fill="auto"/>
          </w:tcPr>
          <w:p w:rsidR="002862A0" w:rsidRPr="002862A0" w:rsidRDefault="002862A0" w:rsidP="002862A0">
            <w:pPr>
              <w:jc w:val="both"/>
              <w:rPr>
                <w:rFonts w:cs="Arial"/>
              </w:rPr>
            </w:pPr>
            <w:r w:rsidRPr="002862A0">
              <w:rPr>
                <w:rFonts w:cs="Arial"/>
                <w:noProof/>
              </w:rPr>
              <w:drawing>
                <wp:inline distT="0" distB="0" distL="0" distR="0" wp14:anchorId="7500D954" wp14:editId="3C9E6713">
                  <wp:extent cx="5033010" cy="890270"/>
                  <wp:effectExtent l="0" t="0" r="0" b="5080"/>
                  <wp:docPr id="29" name="Obrázek 29" descr="Snímek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nímek2"/>
                          <pic:cNvPicPr>
                            <a:picLocks noChangeAspect="1" noChangeArrowheads="1"/>
                          </pic:cNvPicPr>
                        </pic:nvPicPr>
                        <pic:blipFill>
                          <a:blip r:embed="rId25">
                            <a:extLst>
                              <a:ext uri="{28A0092B-C50C-407E-A947-70E740481C1C}">
                                <a14:useLocalDpi xmlns:a14="http://schemas.microsoft.com/office/drawing/2010/main" val="0"/>
                              </a:ext>
                            </a:extLst>
                          </a:blip>
                          <a:srcRect t="79567"/>
                          <a:stretch>
                            <a:fillRect/>
                          </a:stretch>
                        </pic:blipFill>
                        <pic:spPr bwMode="auto">
                          <a:xfrm>
                            <a:off x="0" y="0"/>
                            <a:ext cx="5033010" cy="890270"/>
                          </a:xfrm>
                          <a:prstGeom prst="rect">
                            <a:avLst/>
                          </a:prstGeom>
                          <a:noFill/>
                          <a:ln>
                            <a:noFill/>
                          </a:ln>
                        </pic:spPr>
                      </pic:pic>
                    </a:graphicData>
                  </a:graphic>
                </wp:inline>
              </w:drawing>
            </w:r>
          </w:p>
        </w:tc>
      </w:tr>
      <w:tr w:rsidR="002862A0" w:rsidRPr="002862A0" w:rsidTr="003A5E4B">
        <w:trPr>
          <w:trHeight w:val="64"/>
        </w:trPr>
        <w:tc>
          <w:tcPr>
            <w:tcW w:w="8046" w:type="dxa"/>
            <w:shd w:val="clear" w:color="auto" w:fill="auto"/>
          </w:tcPr>
          <w:p w:rsidR="002862A0" w:rsidRPr="002862A0" w:rsidRDefault="002862A0" w:rsidP="002862A0">
            <w:pPr>
              <w:jc w:val="both"/>
              <w:rPr>
                <w:rFonts w:cs="Arial"/>
              </w:rPr>
            </w:pPr>
            <w:r w:rsidRPr="002862A0">
              <w:rPr>
                <w:rFonts w:cs="Arial"/>
              </w:rPr>
              <w:t>Výjezd vlakové soupravy z netrálního pole, směr jízdy CZ</w:t>
            </w:r>
          </w:p>
        </w:tc>
      </w:tr>
    </w:tbl>
    <w:p w:rsidR="002862A0" w:rsidRPr="002862A0" w:rsidRDefault="002862A0" w:rsidP="002862A0">
      <w:pPr>
        <w:ind w:firstLine="284"/>
        <w:jc w:val="both"/>
        <w:rPr>
          <w:rFonts w:cs="Arial"/>
        </w:rPr>
      </w:pPr>
    </w:p>
    <w:p w:rsidR="002862A0" w:rsidRDefault="002862A0">
      <w:pPr>
        <w:rPr>
          <w:rFonts w:eastAsia="Times New Roman" w:cs="Arial"/>
          <w:bCs/>
        </w:rPr>
      </w:pPr>
      <w:r>
        <w:rPr>
          <w:rFonts w:eastAsia="Times New Roman" w:cs="Arial"/>
          <w:bCs/>
        </w:rPr>
        <w:br w:type="page"/>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lastRenderedPageBreak/>
        <w:t>Obr: poškozený IS vlivem elektrického oblouku na trati v okolí neutrálního pole</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noProof/>
        </w:rPr>
        <w:drawing>
          <wp:inline distT="0" distB="0" distL="0" distR="0" wp14:anchorId="23E50B9C" wp14:editId="24FB32FE">
            <wp:extent cx="4468633" cy="6244170"/>
            <wp:effectExtent l="0" t="0" r="8255" b="444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0308_124717.jpg"/>
                    <pic:cNvPicPr/>
                  </pic:nvPicPr>
                  <pic:blipFill rotWithShape="1">
                    <a:blip r:embed="rId26" cstate="print">
                      <a:extLst>
                        <a:ext uri="{28A0092B-C50C-407E-A947-70E740481C1C}">
                          <a14:useLocalDpi xmlns:a14="http://schemas.microsoft.com/office/drawing/2010/main" val="0"/>
                        </a:ext>
                      </a:extLst>
                    </a:blip>
                    <a:srcRect t="6486" b="14914"/>
                    <a:stretch/>
                  </pic:blipFill>
                  <pic:spPr bwMode="auto">
                    <a:xfrm>
                      <a:off x="0" y="0"/>
                      <a:ext cx="4477170" cy="6256099"/>
                    </a:xfrm>
                    <a:prstGeom prst="rect">
                      <a:avLst/>
                    </a:prstGeom>
                    <a:ln>
                      <a:noFill/>
                    </a:ln>
                    <a:extLst>
                      <a:ext uri="{53640926-AAD7-44D8-BBD7-CCE9431645EC}">
                        <a14:shadowObscured xmlns:a14="http://schemas.microsoft.com/office/drawing/2010/main"/>
                      </a:ext>
                    </a:extLst>
                  </pic:spPr>
                </pic:pic>
              </a:graphicData>
            </a:graphic>
          </wp:inline>
        </w:drawing>
      </w: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rPr>
      </w:pPr>
    </w:p>
    <w:p w:rsidR="002862A0" w:rsidRPr="002862A0" w:rsidRDefault="002862A0" w:rsidP="002862A0">
      <w:pPr>
        <w:ind w:left="360" w:firstLine="345"/>
        <w:jc w:val="both"/>
        <w:rPr>
          <w:rFonts w:cs="Arial"/>
          <w:i/>
        </w:rPr>
      </w:pPr>
      <w:r w:rsidRPr="002862A0">
        <w:rPr>
          <w:rFonts w:cs="Arial"/>
        </w:rPr>
        <w:lastRenderedPageBreak/>
        <w:t>Při oboustranně, resp. jednostranně  napájené trati se může objevit při trakčním odběru poměrně značný úbytek napětí. Ten je dán především:</w:t>
      </w:r>
    </w:p>
    <w:p w:rsidR="002862A0" w:rsidRPr="002862A0" w:rsidRDefault="002862A0" w:rsidP="002862A0">
      <w:pPr>
        <w:numPr>
          <w:ilvl w:val="0"/>
          <w:numId w:val="36"/>
        </w:numPr>
        <w:spacing w:after="0" w:line="240" w:lineRule="auto"/>
        <w:rPr>
          <w:rFonts w:cs="Arial"/>
        </w:rPr>
      </w:pPr>
      <w:r w:rsidRPr="002862A0">
        <w:rPr>
          <w:rFonts w:cs="Arial"/>
        </w:rPr>
        <w:t>typem použitých kolejnic, resp. jejich materiálem a průřezem,</w:t>
      </w:r>
    </w:p>
    <w:p w:rsidR="002862A0" w:rsidRPr="002862A0" w:rsidRDefault="002862A0" w:rsidP="002862A0">
      <w:pPr>
        <w:numPr>
          <w:ilvl w:val="0"/>
          <w:numId w:val="36"/>
        </w:numPr>
        <w:spacing w:after="0" w:line="240" w:lineRule="auto"/>
        <w:rPr>
          <w:rFonts w:cs="Arial"/>
        </w:rPr>
      </w:pPr>
      <w:r w:rsidRPr="002862A0">
        <w:rPr>
          <w:rFonts w:cs="Arial"/>
        </w:rPr>
        <w:t>izolačním stavem kolejí proti zemi</w:t>
      </w:r>
    </w:p>
    <w:p w:rsidR="002862A0" w:rsidRPr="002862A0" w:rsidRDefault="002862A0" w:rsidP="002862A0">
      <w:pPr>
        <w:numPr>
          <w:ilvl w:val="0"/>
          <w:numId w:val="36"/>
        </w:numPr>
        <w:spacing w:after="0" w:line="240" w:lineRule="auto"/>
        <w:rPr>
          <w:rFonts w:cs="Arial"/>
        </w:rPr>
      </w:pPr>
      <w:r w:rsidRPr="002862A0">
        <w:rPr>
          <w:rFonts w:cs="Arial"/>
        </w:rPr>
        <w:t xml:space="preserve">vzdáleností trakčního odběru od měníren, resp. rozdělením trakční zátěže k jednotlivým měnírnám   </w:t>
      </w:r>
    </w:p>
    <w:p w:rsidR="002862A0" w:rsidRPr="002862A0" w:rsidRDefault="002862A0" w:rsidP="002862A0">
      <w:pPr>
        <w:numPr>
          <w:ilvl w:val="0"/>
          <w:numId w:val="35"/>
        </w:numPr>
        <w:spacing w:after="0" w:line="240" w:lineRule="auto"/>
        <w:rPr>
          <w:rFonts w:cs="Arial"/>
        </w:rPr>
      </w:pPr>
      <w:r w:rsidRPr="002862A0">
        <w:rPr>
          <w:rFonts w:cs="Arial"/>
        </w:rPr>
        <w:t>velikostí trakčního odběru</w:t>
      </w:r>
    </w:p>
    <w:p w:rsidR="002862A0" w:rsidRPr="002862A0" w:rsidRDefault="002862A0" w:rsidP="002862A0">
      <w:pPr>
        <w:numPr>
          <w:ilvl w:val="0"/>
          <w:numId w:val="35"/>
        </w:numPr>
        <w:spacing w:after="0" w:line="240" w:lineRule="auto"/>
        <w:rPr>
          <w:rFonts w:cs="Arial"/>
        </w:rPr>
      </w:pPr>
      <w:r w:rsidRPr="002862A0">
        <w:rPr>
          <w:rFonts w:cs="Arial"/>
        </w:rPr>
        <w:t>mezikolejovým propojením</w:t>
      </w:r>
    </w:p>
    <w:p w:rsidR="002862A0" w:rsidRPr="002862A0" w:rsidRDefault="002862A0" w:rsidP="002862A0">
      <w:pPr>
        <w:numPr>
          <w:ilvl w:val="0"/>
          <w:numId w:val="35"/>
        </w:numPr>
        <w:spacing w:after="0" w:line="240" w:lineRule="auto"/>
        <w:rPr>
          <w:rFonts w:cs="Arial"/>
        </w:rPr>
      </w:pPr>
      <w:r w:rsidRPr="002862A0">
        <w:rPr>
          <w:rFonts w:cs="Arial"/>
        </w:rPr>
        <w:t xml:space="preserve">použitými propojkami, jejich materiálem a přechodovým odporem v místě připojení, </w:t>
      </w:r>
    </w:p>
    <w:p w:rsidR="002862A0" w:rsidRPr="002862A0" w:rsidRDefault="002862A0" w:rsidP="002862A0">
      <w:pPr>
        <w:numPr>
          <w:ilvl w:val="0"/>
          <w:numId w:val="35"/>
        </w:numPr>
        <w:spacing w:after="0" w:line="240" w:lineRule="auto"/>
        <w:rPr>
          <w:rFonts w:cs="Arial"/>
        </w:rPr>
      </w:pPr>
      <w:r w:rsidRPr="002862A0">
        <w:rPr>
          <w:rFonts w:cs="Arial"/>
        </w:rPr>
        <w:t>stykovými transformátory,</w:t>
      </w:r>
    </w:p>
    <w:p w:rsidR="002862A0" w:rsidRPr="002862A0" w:rsidRDefault="002862A0" w:rsidP="002862A0">
      <w:pPr>
        <w:numPr>
          <w:ilvl w:val="0"/>
          <w:numId w:val="35"/>
        </w:numPr>
        <w:spacing w:after="0" w:line="240" w:lineRule="auto"/>
        <w:rPr>
          <w:rFonts w:cs="Arial"/>
        </w:rPr>
      </w:pPr>
      <w:r w:rsidRPr="002862A0">
        <w:rPr>
          <w:rFonts w:cs="Arial"/>
        </w:rPr>
        <w:t>přípojnými lany stykových transformátorů, jejich materiálem a přechodovým odporem v místě připojení</w:t>
      </w:r>
    </w:p>
    <w:p w:rsidR="002862A0" w:rsidRPr="002862A0" w:rsidRDefault="002862A0" w:rsidP="002862A0">
      <w:pPr>
        <w:numPr>
          <w:ilvl w:val="0"/>
          <w:numId w:val="35"/>
        </w:numPr>
        <w:spacing w:after="0" w:line="240" w:lineRule="auto"/>
        <w:rPr>
          <w:rFonts w:cs="Arial"/>
        </w:rPr>
      </w:pPr>
      <w:r w:rsidRPr="002862A0">
        <w:rPr>
          <w:rFonts w:cs="Arial"/>
        </w:rPr>
        <w:t>délkou a materiálem obcházecích lan a lanových propojení a jejich přechodovým odporem v místě připojení</w:t>
      </w:r>
    </w:p>
    <w:p w:rsidR="002862A0" w:rsidRPr="002862A0" w:rsidRDefault="002862A0" w:rsidP="002862A0">
      <w:pPr>
        <w:numPr>
          <w:ilvl w:val="0"/>
          <w:numId w:val="35"/>
        </w:numPr>
        <w:spacing w:after="0" w:line="240" w:lineRule="auto"/>
        <w:rPr>
          <w:rFonts w:cs="Arial"/>
        </w:rPr>
      </w:pPr>
      <w:r w:rsidRPr="002862A0">
        <w:rPr>
          <w:rFonts w:cs="Arial"/>
        </w:rPr>
        <w:t>zapojením KO</w:t>
      </w:r>
    </w:p>
    <w:p w:rsidR="002862A0" w:rsidRPr="002862A0" w:rsidRDefault="002862A0" w:rsidP="002862A0">
      <w:pPr>
        <w:rPr>
          <w:rFonts w:cs="Arial"/>
        </w:rPr>
      </w:pPr>
      <w:r w:rsidRPr="002862A0">
        <w:rPr>
          <w:rFonts w:cs="Arial"/>
        </w:rPr>
        <w:t>Princip vzniku napětí přes IS neutrálního pole (stejný princip vzniku napětí na ZTR je u jednostranně napájené trati)</w:t>
      </w:r>
    </w:p>
    <w:p w:rsidR="002862A0" w:rsidRPr="002862A0" w:rsidRDefault="002862A0" w:rsidP="002862A0">
      <w:pPr>
        <w:rPr>
          <w:rFonts w:cs="Arial"/>
        </w:rPr>
      </w:pPr>
      <w:r w:rsidRPr="002862A0">
        <w:rPr>
          <w:rFonts w:cs="Arial"/>
          <w:noProof/>
        </w:rPr>
        <w:drawing>
          <wp:inline distT="0" distB="0" distL="0" distR="0" wp14:anchorId="01BE2CBC" wp14:editId="77C6E403">
            <wp:extent cx="5809615" cy="3199765"/>
            <wp:effectExtent l="0" t="0" r="635" b="63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09615" cy="3199765"/>
                    </a:xfrm>
                    <a:prstGeom prst="rect">
                      <a:avLst/>
                    </a:prstGeom>
                    <a:noFill/>
                  </pic:spPr>
                </pic:pic>
              </a:graphicData>
            </a:graphic>
          </wp:inline>
        </w:drawing>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Legenda k obr</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DC - stejnosměrná trakční proudová soustava 3 kV</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AC - střídavá trakční proudová soustava 25 kV</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TNS 1  - DCNS (trakční měnírna)</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TNS 2 -  ACNS</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U</w:t>
      </w:r>
      <w:r w:rsidRPr="002862A0">
        <w:rPr>
          <w:rFonts w:cs="Arial"/>
          <w:vertAlign w:val="subscript"/>
        </w:rPr>
        <w:t xml:space="preserve">1 </w:t>
      </w:r>
      <w:r w:rsidRPr="002862A0">
        <w:rPr>
          <w:rFonts w:cs="Arial"/>
        </w:rPr>
        <w:t xml:space="preserve">- úbytek napětí na zpětné cestě </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lastRenderedPageBreak/>
        <w:t>U</w:t>
      </w:r>
      <w:r w:rsidRPr="002862A0">
        <w:rPr>
          <w:rFonts w:cs="Arial"/>
          <w:vertAlign w:val="subscript"/>
        </w:rPr>
        <w:t xml:space="preserve">2 </w:t>
      </w:r>
      <w:r w:rsidRPr="002862A0">
        <w:rPr>
          <w:rFonts w:cs="Arial"/>
        </w:rPr>
        <w:t xml:space="preserve">- úbytek napětí přes IS neutrálního pole </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 xml:space="preserve">NP - neutrální pole mezi DC a AC trakční proudovou soustavou </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I</w:t>
      </w:r>
      <w:r w:rsidRPr="002862A0">
        <w:rPr>
          <w:rFonts w:cs="Arial"/>
          <w:vertAlign w:val="subscript"/>
        </w:rPr>
        <w:t xml:space="preserve">1 </w:t>
      </w:r>
      <w:r w:rsidRPr="002862A0">
        <w:rPr>
          <w:rFonts w:cs="Arial"/>
        </w:rPr>
        <w:t>- trakční proud tekoucí do TNS1 při trakčním odběru</w:t>
      </w:r>
    </w:p>
    <w:p w:rsidR="002862A0" w:rsidRPr="002862A0" w:rsidRDefault="002862A0" w:rsidP="002862A0">
      <w:pPr>
        <w:numPr>
          <w:ilvl w:val="12"/>
          <w:numId w:val="0"/>
        </w:numPr>
        <w:overflowPunct w:val="0"/>
        <w:autoSpaceDE w:val="0"/>
        <w:autoSpaceDN w:val="0"/>
        <w:adjustRightInd w:val="0"/>
        <w:jc w:val="both"/>
        <w:textAlignment w:val="baseline"/>
        <w:rPr>
          <w:rFonts w:cs="Arial"/>
        </w:rPr>
      </w:pPr>
      <w:r w:rsidRPr="002862A0">
        <w:rPr>
          <w:rFonts w:cs="Arial"/>
        </w:rPr>
        <w:t>I</w:t>
      </w:r>
      <w:r w:rsidRPr="002862A0">
        <w:rPr>
          <w:rFonts w:cs="Arial"/>
          <w:vertAlign w:val="subscript"/>
        </w:rPr>
        <w:t xml:space="preserve">2 </w:t>
      </w:r>
      <w:r w:rsidRPr="002862A0">
        <w:rPr>
          <w:rFonts w:cs="Arial"/>
        </w:rPr>
        <w:t>- trakční proud tekoucí při přejezdu  vlakové soupravy přes NP do AC trakční proudové soustavy (uzemnění TNS2)</w:t>
      </w:r>
    </w:p>
    <w:p w:rsidR="002862A0" w:rsidRPr="002862A0" w:rsidRDefault="002862A0" w:rsidP="002862A0">
      <w:pPr>
        <w:rPr>
          <w:rFonts w:cs="Arial"/>
        </w:rPr>
      </w:pPr>
    </w:p>
    <w:p w:rsidR="002862A0" w:rsidRPr="002862A0" w:rsidRDefault="002862A0" w:rsidP="002862A0">
      <w:pPr>
        <w:rPr>
          <w:rFonts w:cs="Arial"/>
        </w:rPr>
      </w:pPr>
    </w:p>
    <w:p w:rsidR="002862A0" w:rsidRPr="002862A0" w:rsidRDefault="002862A0" w:rsidP="00061ECF">
      <w:pPr>
        <w:rPr>
          <w:rFonts w:eastAsiaTheme="majorEastAsia"/>
          <w:u w:val="single"/>
        </w:rPr>
      </w:pPr>
      <w:bookmarkStart w:id="41" w:name="_Toc456185626"/>
      <w:r w:rsidRPr="002862A0">
        <w:rPr>
          <w:rFonts w:eastAsiaTheme="majorEastAsia"/>
          <w:u w:val="single"/>
        </w:rPr>
        <w:t>Měření elektrických parametrů zpětné trakční cesty</w:t>
      </w:r>
      <w:bookmarkEnd w:id="41"/>
    </w:p>
    <w:p w:rsidR="002862A0" w:rsidRPr="002862A0" w:rsidRDefault="002862A0" w:rsidP="002862A0">
      <w:pPr>
        <w:rPr>
          <w:rFonts w:cs="Arial"/>
        </w:rPr>
      </w:pPr>
      <w:r w:rsidRPr="002862A0">
        <w:rPr>
          <w:rFonts w:cs="Arial"/>
        </w:rPr>
        <w:t>•</w:t>
      </w:r>
      <w:r w:rsidRPr="002862A0">
        <w:rPr>
          <w:rFonts w:cs="Arial"/>
        </w:rPr>
        <w:tab/>
        <w:t>Vodivost zpětné trakční cesty</w:t>
      </w:r>
    </w:p>
    <w:p w:rsidR="002862A0" w:rsidRPr="002862A0" w:rsidRDefault="002862A0" w:rsidP="002862A0">
      <w:pPr>
        <w:rPr>
          <w:rFonts w:cs="Arial"/>
        </w:rPr>
      </w:pPr>
      <w:r w:rsidRPr="002862A0">
        <w:rPr>
          <w:rFonts w:cs="Arial"/>
        </w:rPr>
        <w:t>Je daná podélnou vodivostí samotných kolejnicových pásů, vodivostí stykových transformátorů včetně jejich připojení k trakční kolejnici a dále vodivostí podélných a příčných propojení kolejnicových pásů a kolejí. Parametry vodivých propojení jsou uvedeny v příslušných normách, požadavky na kvalitu zpětné trakční cesty jsou uvedeny např. v ČSN 03 8371.</w:t>
      </w:r>
    </w:p>
    <w:p w:rsidR="002862A0" w:rsidRPr="002862A0" w:rsidRDefault="002862A0" w:rsidP="002862A0">
      <w:pPr>
        <w:rPr>
          <w:rFonts w:cs="Arial"/>
        </w:rPr>
      </w:pPr>
      <w:r w:rsidRPr="002862A0">
        <w:rPr>
          <w:rFonts w:cs="Arial"/>
        </w:rPr>
        <w:t>•</w:t>
      </w:r>
      <w:r w:rsidRPr="002862A0">
        <w:rPr>
          <w:rFonts w:cs="Arial"/>
        </w:rPr>
        <w:tab/>
        <w:t>Izolace mezi kolejnicí a zemí</w:t>
      </w:r>
    </w:p>
    <w:p w:rsidR="002862A0" w:rsidRPr="002862A0" w:rsidRDefault="002862A0" w:rsidP="002862A0">
      <w:pPr>
        <w:rPr>
          <w:rFonts w:cs="Arial"/>
        </w:rPr>
      </w:pPr>
      <w:r w:rsidRPr="002862A0">
        <w:rPr>
          <w:rFonts w:cs="Arial"/>
        </w:rPr>
        <w:tab/>
        <w:t>Vyhláška č. 177/1995 Sb. (§ 18 , § 25)  požaduje, aby stav součástí železničního svršku v místech provozu kolejových obvodů trvale vykazoval nižší než stanovené hodnoty měrné svodové admitance (obdoba čl. 27 normy ČSN 03 8371). Hodnoty stanovené touto vyhláškou jsou důležité i pro únik zpětných trakčních proudů a tím i pro korozní situaci úložných zařízení, zejména pro úložná liniová zařízení situovaná v blízkosti stejnosměrně elektrifikovaných tratí. V ČSN EN 50 122-2 jsou vyznačeny doporučené hodnoty měrné svodové vodivosti, resp. měrné svodové konduktance pro jednokolejné tratě. Pro vznik elektrolytické koroze na úložných zařízeních je významná právě tato reálná složka svodové admitance. Hodnoty měrné svodové admitance získávané měřením při použití nenulové frekvence (což se běžně používá při kontrole podmínek pro bezpečnou činnost kolejových obvodů), jsou proto ke zjišťování možnosti úniků stejnosměrných bludných proudů nepoužitelné.</w:t>
      </w:r>
    </w:p>
    <w:p w:rsidR="002862A0" w:rsidRPr="002862A0" w:rsidRDefault="002862A0" w:rsidP="002862A0">
      <w:pPr>
        <w:rPr>
          <w:rFonts w:cs="Arial"/>
        </w:rPr>
      </w:pPr>
      <w:r w:rsidRPr="002862A0">
        <w:rPr>
          <w:rFonts w:cs="Arial"/>
        </w:rPr>
        <w:object w:dxaOrig="9541" w:dyaOrig="74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6pt;height:349.15pt" o:ole="">
            <v:imagedata r:id="rId28" o:title=""/>
          </v:shape>
          <o:OLEObject Type="Embed" ProgID="MSPhotoEd.3" ShapeID="_x0000_i1025" DrawAspect="Content" ObjectID="_1530699577" r:id="rId29"/>
        </w:objec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w:t>
      </w:r>
      <w:r w:rsidRPr="002862A0">
        <w:rPr>
          <w:rFonts w:eastAsia="Times New Roman" w:cs="Arial"/>
          <w:bCs/>
        </w:rPr>
        <w:tab/>
        <w:t>Měření trakčních proudů v kolejích</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V některých případech je nezbyt zjistit skutečnou velikost proudové složky (bludného proudu) unikající z trakčních kolejí do země.</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K tomuto účelu slouží metoda, umožňující synchronní měření zpětných trakčních proudů na DC elektrizovaných tratích. Měření spočívá v synchronním odečtu DC úbytků napětí na trakčních kolejnicích, jejich přepočet na ekvivalentní hodnoty proudů a jejich porovnání v jednotlivých úsecích proměřovaného traťového úseku. K synchronnímu záznamu úbytků napětí na kolejnicových pásech je třeba použít  záznamníky s větší časovou konstantou  která maximálně omezí ovlivnění měřených hodnot signálem kmitočtů zabezpečovacích zařízení. Přepočty se provádějí na základě technických parametrů kolejnicových pásů daných výrobcem.</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numPr>
          <w:ilvl w:val="0"/>
          <w:numId w:val="37"/>
        </w:numPr>
        <w:spacing w:after="0" w:line="240" w:lineRule="auto"/>
        <w:jc w:val="both"/>
        <w:rPr>
          <w:rFonts w:eastAsia="Times New Roman" w:cs="Arial"/>
          <w:bCs/>
        </w:rPr>
      </w:pPr>
      <w:r w:rsidRPr="002862A0">
        <w:rPr>
          <w:rFonts w:eastAsia="Times New Roman" w:cs="Arial"/>
          <w:bCs/>
        </w:rPr>
        <w:t>Ukolejnění</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t>Dalším faktorem významně ovlivňujícím kvalitu zpětné trakční cesty je ukolejnění kovových zařízení (např. trakční podpěry), které se nacházejí v prostoru POTV (prostor ohrožený trakčním vedením dle ČSN 34 1500). Přímé ukolejnění nebo ukolejnění přes proraženou průrazku tak představuje snížení přechodového odporu koleje proti vzdálené zemi se všemi negativními důsledky, v souvislosti s ohrožením kovových úložných zařízení bludnými proudy. Samostatnou kapitolou je vědomé propojení liniového úložného zařízení (drenážování), které se řídí především závazným kriteriem bezpečnosti kolejových obvodů. Návrh drenážní ochrany a zejména její připojení ke kolejím je proto vždy nutno řešit v souladu s TKP (technické kvalitativní podmínky) staveb státních drah kapitola 25</w:t>
      </w:r>
    </w:p>
    <w:p w:rsidR="002862A0" w:rsidRPr="002862A0" w:rsidRDefault="002862A0" w:rsidP="002862A0">
      <w:pPr>
        <w:spacing w:after="0" w:line="240" w:lineRule="auto"/>
        <w:ind w:firstLine="705"/>
        <w:jc w:val="both"/>
        <w:rPr>
          <w:rFonts w:eastAsia="Times New Roman" w:cs="Arial"/>
          <w:bCs/>
        </w:rPr>
      </w:pPr>
      <w:r w:rsidRPr="002862A0">
        <w:rPr>
          <w:rFonts w:eastAsia="Times New Roman" w:cs="Arial"/>
          <w:bCs/>
        </w:rPr>
        <w:lastRenderedPageBreak/>
        <w:t xml:space="preserve">     Na koridorových tratích s vysokým izolačním odporem kolejí proti zemi je kvalitně provedené ukolejnění s opakovatelnou průrazkou důležité, zvláště pokud se přes ukolejňovací lano ukolejňují větší celky, příp. zařízení vykazující nízký zemní odpor (osvětlovací stožáry propojené zemnícím páskem, gabiony, mostní konstrukce apod). Dojde-li k vodivému propojení trakční koleje s uzemněným zařízením, soustředí se tok bludných proudů právě do tohoto místa propojení se zemí  a v blízkosti tohoto svodu se tím nebezpečně ohrozí nedostatečně od země odizolovaná kovová úložná zařízení, zejména, pokud tento stav nastane v blízkosti TNS. </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numPr>
          <w:ilvl w:val="0"/>
          <w:numId w:val="37"/>
        </w:numPr>
        <w:spacing w:after="0" w:line="240" w:lineRule="auto"/>
        <w:jc w:val="both"/>
        <w:rPr>
          <w:rFonts w:eastAsia="Times New Roman" w:cs="Arial"/>
          <w:bCs/>
        </w:rPr>
      </w:pPr>
      <w:r w:rsidRPr="002862A0">
        <w:rPr>
          <w:rFonts w:eastAsia="Times New Roman" w:cs="Arial"/>
          <w:bCs/>
        </w:rPr>
        <w:t>Měření odporu kolejnic zpětné trakční cesty</w:t>
      </w:r>
    </w:p>
    <w:p w:rsidR="002862A0" w:rsidRPr="002862A0" w:rsidRDefault="002862A0" w:rsidP="002862A0">
      <w:pPr>
        <w:spacing w:after="0" w:line="240" w:lineRule="auto"/>
        <w:jc w:val="both"/>
        <w:rPr>
          <w:rFonts w:eastAsia="Times New Roman" w:cs="Arial"/>
          <w:bCs/>
        </w:rPr>
      </w:pPr>
      <w:r w:rsidRPr="002862A0">
        <w:rPr>
          <w:rFonts w:eastAsia="Times New Roman" w:cs="Arial"/>
          <w:bCs/>
        </w:rPr>
        <w:t>Provádí se měřením úbytku napětí na stanovenou délku kolejnicového pasu při synchronním měření proudu tekoucího do měřené kolejnice. V tomto případě je třeba na měřicím přístroji odfiltrovat rušivé vlivy cizích proudových polí, které mohou mít vliv na přesnost odečtu naměřených hodnot. Výpočet se provádí s ustálených hodnot proudu a napětí v synchronních časech odečtených z tabulky.</w:t>
      </w:r>
    </w:p>
    <w:p w:rsidR="002862A0" w:rsidRPr="002862A0" w:rsidRDefault="002862A0" w:rsidP="002862A0">
      <w:pPr>
        <w:spacing w:after="0" w:line="240" w:lineRule="auto"/>
        <w:jc w:val="both"/>
        <w:rPr>
          <w:rFonts w:eastAsia="Times New Roman" w:cs="Arial"/>
          <w:bCs/>
        </w:rPr>
      </w:pPr>
    </w:p>
    <w:p w:rsidR="002862A0" w:rsidRPr="002862A0" w:rsidRDefault="002862A0" w:rsidP="002862A0">
      <w:pPr>
        <w:numPr>
          <w:ilvl w:val="0"/>
          <w:numId w:val="38"/>
        </w:numPr>
        <w:spacing w:after="0" w:line="240" w:lineRule="auto"/>
        <w:jc w:val="both"/>
        <w:rPr>
          <w:rFonts w:eastAsia="Times New Roman" w:cs="Arial"/>
          <w:bCs/>
        </w:rPr>
      </w:pPr>
      <w:r w:rsidRPr="002862A0">
        <w:rPr>
          <w:rFonts w:eastAsia="Times New Roman" w:cs="Arial"/>
          <w:bCs/>
        </w:rPr>
        <w:t>Měření úbytku napětí na stykových transformátorech</w:t>
      </w:r>
    </w:p>
    <w:p w:rsidR="002862A0" w:rsidRPr="002862A0" w:rsidRDefault="002862A0" w:rsidP="002862A0">
      <w:pPr>
        <w:spacing w:after="0" w:line="240" w:lineRule="auto"/>
        <w:jc w:val="both"/>
        <w:rPr>
          <w:rFonts w:eastAsia="Times New Roman" w:cs="Arial"/>
          <w:bCs/>
        </w:rPr>
      </w:pPr>
      <w:r w:rsidRPr="002862A0">
        <w:rPr>
          <w:rFonts w:eastAsia="Times New Roman" w:cs="Arial"/>
          <w:bCs/>
        </w:rPr>
        <w:t>Provádí se obdobným způsobem jako v předešlém případě, úbytek napětí se v případě potřeby měří včetně přípojných lan a napojení ke kolejnicím. Měření proudu se synchronně s napětím měří na přípojných lanech, příp. přes střed stykového transformátoru.</w:t>
      </w:r>
    </w:p>
    <w:p w:rsidR="002862A0" w:rsidRPr="002862A0" w:rsidRDefault="002862A0" w:rsidP="002862A0">
      <w:pPr>
        <w:spacing w:after="0" w:line="240" w:lineRule="auto"/>
        <w:jc w:val="both"/>
        <w:rPr>
          <w:rFonts w:eastAsia="Times New Roman" w:cs="Arial"/>
          <w:bCs/>
        </w:rPr>
      </w:pPr>
    </w:p>
    <w:p w:rsidR="002862A0" w:rsidRPr="002862A0" w:rsidRDefault="002862A0" w:rsidP="002862A0">
      <w:pPr>
        <w:numPr>
          <w:ilvl w:val="0"/>
          <w:numId w:val="38"/>
        </w:numPr>
        <w:spacing w:after="0" w:line="240" w:lineRule="auto"/>
        <w:jc w:val="both"/>
        <w:rPr>
          <w:rFonts w:eastAsia="Times New Roman" w:cs="Arial"/>
          <w:bCs/>
        </w:rPr>
      </w:pPr>
      <w:r w:rsidRPr="002862A0">
        <w:rPr>
          <w:rFonts w:eastAsia="Times New Roman" w:cs="Arial"/>
          <w:bCs/>
        </w:rPr>
        <w:t>Měření odizolování nezávislých tratí a vleček</w:t>
      </w:r>
    </w:p>
    <w:p w:rsidR="002862A0" w:rsidRPr="002862A0" w:rsidRDefault="002862A0" w:rsidP="002862A0">
      <w:pPr>
        <w:spacing w:after="0" w:line="240" w:lineRule="auto"/>
        <w:jc w:val="both"/>
        <w:rPr>
          <w:rFonts w:eastAsia="Times New Roman" w:cs="Arial"/>
          <w:bCs/>
        </w:rPr>
      </w:pPr>
      <w:r w:rsidRPr="002862A0">
        <w:rPr>
          <w:rFonts w:eastAsia="Times New Roman" w:cs="Arial"/>
          <w:bCs/>
        </w:rPr>
        <w:t>Provádí se metodou úbytku napětí přes IS a v případě potřeby proudu tekoucího do měřeného styku (úbytkem napětí na kolejnici a následném přepočtu na proud)</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AA3430" w:rsidRDefault="00AA3430" w:rsidP="00AA3430">
      <w:pPr>
        <w:pStyle w:val="Nadpis3"/>
      </w:pPr>
      <w:bookmarkStart w:id="42" w:name="_Toc456957695"/>
      <w:r>
        <w:t>6.7.2. A</w:t>
      </w:r>
      <w:r w:rsidRPr="002862A0">
        <w:t>C trakční proudová soustava</w:t>
      </w:r>
      <w:bookmarkEnd w:id="42"/>
    </w:p>
    <w:p w:rsidR="0048625B" w:rsidRPr="0048625B" w:rsidRDefault="0048625B" w:rsidP="0048625B"/>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Stejně jako je stejnosměrná trakční proudová soustava na železnici zdrojem stejnosměrných (DC) bludných proudů, vznikají v souvislosti s provozem na tratích elektrizovaných jednofázovou trakční proudovou soustavou střídavé (AC) bludné proudy. Problematika DC bludných proudů je dostatečně popsána v příslušných normách a předpisech; pro stanovení korozních účinků AC bludných proudů je v mnoha případech možné použít metody používané pro DC bludné proudy, rozpracování do předpisů je však teprve na začátku.</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Korozní působení AC bludných proudů je stejně jako u DC bludných proudů spojeno s proudem vystupujícím z povrchu kovu. Je-li střídavé napětí dostatečně vysoké (vyšší než 4 – 10 V), dochází při kladné půlvlně k oxidaci obnaženého povrchu kovu a tvorbě vrstvy oxidů (např. Fe3O4). Během záporné půlvlny se tato vrstvička oxidů redukuje na hydroxid železa (např. Fe(OH)2). Při další kladné půlvlně opět naroste nová vrstvička oxidů, která je opět následně redukována za současného nárůstu vrstvy hydoxidů železa. Dlouhodobě tak může docházet k úbytku kovu, přičemž doba potřebná ke vzniku koroze AC bludnými proudy se pohybuje v řádu měsíců.</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Pro měření střídavého napětí se používá střídavý voltmetr o vysoké vstupní impedanci, který udává okamžitou efektivní hodnotu střídavého napětí na konstrukci (např. potrubí). Uspořádání měření je dále stejné, jako při měření DC bludných proudů. Za mezní hodnoty, které by neměly být v žádném případě překročeny, je bráno 10 V při zdánlivém měrném odporu půdy v místě vady v izolaci vyšším než 25 Ω.m, resp. 4 V při zdánlivém měrném odporu půdy v místě vady v izolaci nižším, než 25 Ω.m. Jsou-li hodnoty napětí na konstrukci vyšší, je třeba přistoupit ke snížení napětí na konstrukci.</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 xml:space="preserve">Dále je sledován vypínací potenciál vzorek-půda (pro ocel má být zápornější než mezní kritický potenciál -0,85 V/CSE v aerobních půdách) nebo efektivní proudová hustota, jejíž stanovení </w:t>
      </w:r>
      <w:r w:rsidRPr="0048625B">
        <w:rPr>
          <w:rFonts w:eastAsia="Times New Roman" w:cs="Arial"/>
          <w:bCs/>
        </w:rPr>
        <w:lastRenderedPageBreak/>
        <w:t>je však zatíženo značnou nejistotou (je-li nižší než 30 A/m2, je pravděpodobnost koroze AC bludnými proudy téměř nulová, je-li vyšší než 100 A/m2, je pravděpodobnost koroze naopak velmi vysoká).</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Na existujících zařízeních se doporučuje měřit tyto parametry:</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střídavé napětí potrubí-půda;</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potenciál potrubí-půda;</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zdánlivý měrný odpor půdy.</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Další měření se provádějí, jsou-li nainstalovány vzorky pro zkoušení koroze.</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Pro nová zařízení se výpočet interference AC bludným proudem na konstrukci (např. potrubí) provádí, jestliže nejkratší vzdálenost mezi porubím a tratí nepřevyšuje 1000 m, ve městech se tato vzdálenost snižuje až na 300 m.</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Během 24h měření nemá efektivní napětí na potrubí překročit výše uvedené meze (4 – 10 V). Jestliže je tato hodnota překročena, má se potrubí uzemnit svodovým zařízením, aby se střídavé napětí udrželo v mezích.</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Uvádí se, že je-li zjištěna interference ze střídavých systémů, mají plány údržby zařízení obsahovat:</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periodická měření střídavého napětí potrubí-půda;</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měření potenciálu, střídavého a stejnosměrného proudu na zkušebních vzorcích;</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měření proudu na existujících svodových zařízeních přes náležitá uzemnění;</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napětí na místě instalace svodových zařízení (po jejich odpojení) ve vztahu k bezpečnostním opařením;</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w:t>
      </w:r>
      <w:r w:rsidRPr="0048625B">
        <w:rPr>
          <w:rFonts w:eastAsia="Times New Roman" w:cs="Arial"/>
          <w:bCs/>
        </w:rPr>
        <w:tab/>
        <w:t>periodická měření odporu uzemnění.</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 xml:space="preserve">Obecně platí, že účinnost zařízení a jeho součástí a příslušné hodnoty proudu a napětí se mají ověřovat jednou ročně. </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Z výše uvedeného plyne, že ani po přechodu na jednofázovou trakční proudovou soustavu nepomine nutnost korozních měření na zařízeních, která mohou být ohrožena korozí AC bludnými proudy.</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 xml:space="preserve">Pozn: </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Měření AC potenciálu je možné provádět na úložných zařízeních, která nejsou galvanicky propojena s ochranným vodičem distribuční sítě z důvodu ochrany před nebezpečným dotykovým napětím, V těchto případech se na zařízeních obvykle projevuje složka AC potenciálu, způsobená nesymetrií odběru fázových vodičů.</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(vypracováno za použití ČSN P CEN/TS 15280 hodnocení pravděpodobnosti koroze střídavými proudy u potrubí uložených v půdě – Aplikace na katodicky chráněná potrubí)</w:t>
      </w:r>
    </w:p>
    <w:p w:rsidR="0048625B" w:rsidRPr="0048625B" w:rsidRDefault="0048625B" w:rsidP="0048625B">
      <w:pPr>
        <w:spacing w:after="0" w:line="240" w:lineRule="auto"/>
        <w:ind w:firstLine="705"/>
        <w:jc w:val="both"/>
        <w:rPr>
          <w:rFonts w:eastAsia="Times New Roman" w:cs="Arial"/>
          <w:bCs/>
        </w:rPr>
      </w:pP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Problematika poškozování IS elektrickým obloukem na AC elektrizovaných tratích</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 xml:space="preserve">Na rozdíl od DC trakce dochází na IS v některých případech k poškození elektrickým obloukem na patě kolejnice, tedy v místech nejčastějšího znečištění a vlhkosti. K propálení IS na AC trakci tedy obvykle dochází v místě sníženého izolačního stavu při současném zvýšení napětí přes tento IS. Ke snížení izolačního stavu může dojít např. vlivem nehomogenity izolace uvnitř vložky, která může vlivem vlhkosti a nečistot ztratit svoji původní izolační pevnost. Příčinou zvýšeného napětí přes IS obvykle bývá zvýšený trakční odběr v blízkosti IS a velká vzdálenost mezikolejového propojení, která umožňuje vysoký úbytek napětí na zpětné trakční cestě – resp. na předmětném IS.   </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Ke snížení rizika propálení LIS je doporučeno v maximální možné míře využívat mezikolejová propojení.</w:t>
      </w:r>
    </w:p>
    <w:p w:rsidR="0048625B" w:rsidRPr="0048625B" w:rsidRDefault="0048625B" w:rsidP="0048625B">
      <w:pPr>
        <w:spacing w:after="0" w:line="240" w:lineRule="auto"/>
        <w:ind w:firstLine="705"/>
        <w:jc w:val="both"/>
        <w:rPr>
          <w:rFonts w:eastAsia="Times New Roman" w:cs="Arial"/>
          <w:bCs/>
        </w:rPr>
      </w:pPr>
      <w:r w:rsidRPr="0048625B">
        <w:rPr>
          <w:rFonts w:eastAsia="Times New Roman" w:cs="Arial"/>
          <w:bCs/>
        </w:rPr>
        <w:t>Podmínky připojení mezikolejového propojení na elektrizovaných tratích s kolejovými obvody (dále jen KO) jsou dány ČSN 34 2614 ed.2 z roku 2007.</w:t>
      </w:r>
    </w:p>
    <w:p w:rsidR="002862A0" w:rsidRPr="002862A0" w:rsidRDefault="0048625B" w:rsidP="0048625B">
      <w:pPr>
        <w:spacing w:after="0" w:line="240" w:lineRule="auto"/>
        <w:ind w:firstLine="705"/>
        <w:jc w:val="both"/>
        <w:rPr>
          <w:rFonts w:eastAsia="Times New Roman" w:cs="Arial"/>
          <w:bCs/>
        </w:rPr>
      </w:pPr>
      <w:r w:rsidRPr="0048625B">
        <w:rPr>
          <w:rFonts w:eastAsia="Times New Roman" w:cs="Arial"/>
          <w:bCs/>
        </w:rPr>
        <w:t>Nezbytnou podmínkou nově realizovaného mezikolejového propojení je vyjádření místně příslušné laboratoře Sdělovací a zabezpečovací techniky.</w:t>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AA3430">
      <w:pPr>
        <w:pStyle w:val="Nadpis3"/>
      </w:pPr>
      <w:bookmarkStart w:id="43" w:name="_Toc456185627"/>
      <w:bookmarkStart w:id="44" w:name="_Toc456957696"/>
      <w:r w:rsidRPr="002862A0">
        <w:lastRenderedPageBreak/>
        <w:t>6.7.</w:t>
      </w:r>
      <w:r w:rsidR="00AA3430">
        <w:t xml:space="preserve">3 </w:t>
      </w:r>
      <w:r w:rsidRPr="002862A0">
        <w:t xml:space="preserve"> Náklady spojené s bludnými proudy</w:t>
      </w:r>
      <w:bookmarkEnd w:id="43"/>
      <w:bookmarkEnd w:id="44"/>
    </w:p>
    <w:p w:rsidR="002862A0" w:rsidRPr="002862A0" w:rsidRDefault="002862A0" w:rsidP="002862A0"/>
    <w:p w:rsidR="002862A0" w:rsidRPr="002862A0" w:rsidRDefault="002862A0" w:rsidP="002862A0">
      <w:r w:rsidRPr="002862A0">
        <w:t>Problematika koroze a protikorozní ochrany je řešena množstvím předpisů a směrnic, které mají za cíl minimalizovat náklady vzniklé bludnými proudy. Přes uvedená opatření dochází vlivem elektrochemické koroze ke značným ekonomickým ztrátám.</w:t>
      </w:r>
    </w:p>
    <w:p w:rsidR="002862A0" w:rsidRPr="002862A0" w:rsidRDefault="002862A0" w:rsidP="002862A0">
      <w:pPr>
        <w:rPr>
          <w:b/>
          <w:u w:val="single"/>
        </w:rPr>
      </w:pPr>
      <w:r w:rsidRPr="002862A0">
        <w:rPr>
          <w:b/>
          <w:u w:val="single"/>
        </w:rPr>
        <w:t>Rozdělení ztrát způsobených elektrochemickou korozí.</w:t>
      </w:r>
    </w:p>
    <w:p w:rsidR="002862A0" w:rsidRPr="002862A0" w:rsidRDefault="002862A0" w:rsidP="002862A0">
      <w:pPr>
        <w:numPr>
          <w:ilvl w:val="0"/>
          <w:numId w:val="42"/>
        </w:numPr>
        <w:contextualSpacing/>
      </w:pPr>
      <w:r w:rsidRPr="002862A0">
        <w:t>Náklady na protikorozní ochranu</w:t>
      </w:r>
    </w:p>
    <w:p w:rsidR="002862A0" w:rsidRPr="002862A0" w:rsidRDefault="002862A0" w:rsidP="002862A0">
      <w:pPr>
        <w:ind w:left="720"/>
        <w:contextualSpacing/>
      </w:pPr>
      <w:r w:rsidRPr="002862A0">
        <w:t>- vznikají u výrobců a uživatelů</w:t>
      </w:r>
    </w:p>
    <w:p w:rsidR="002862A0" w:rsidRPr="002862A0" w:rsidRDefault="002862A0" w:rsidP="002862A0">
      <w:pPr>
        <w:ind w:left="720"/>
        <w:contextualSpacing/>
      </w:pPr>
    </w:p>
    <w:p w:rsidR="002862A0" w:rsidRPr="002862A0" w:rsidRDefault="002862A0" w:rsidP="002862A0">
      <w:pPr>
        <w:numPr>
          <w:ilvl w:val="0"/>
          <w:numId w:val="42"/>
        </w:numPr>
        <w:contextualSpacing/>
      </w:pPr>
      <w:r w:rsidRPr="002862A0">
        <w:t>Přímé korozní ztráty</w:t>
      </w:r>
    </w:p>
    <w:p w:rsidR="002862A0" w:rsidRPr="002862A0" w:rsidRDefault="002862A0" w:rsidP="002862A0">
      <w:pPr>
        <w:numPr>
          <w:ilvl w:val="0"/>
          <w:numId w:val="43"/>
        </w:numPr>
        <w:contextualSpacing/>
      </w:pPr>
      <w:r w:rsidRPr="002862A0">
        <w:t>Opravy nebo předčasná výměna zařízení nebo jejich dílů, která jsou znehodnocena elektrochemickou korozí.</w:t>
      </w:r>
    </w:p>
    <w:p w:rsidR="002862A0" w:rsidRPr="002862A0" w:rsidRDefault="002862A0" w:rsidP="002862A0">
      <w:pPr>
        <w:numPr>
          <w:ilvl w:val="0"/>
          <w:numId w:val="43"/>
        </w:numPr>
        <w:contextualSpacing/>
      </w:pPr>
      <w:r w:rsidRPr="002862A0">
        <w:t>Opravy a obnova protikorozní ochrany</w:t>
      </w:r>
    </w:p>
    <w:p w:rsidR="002862A0" w:rsidRPr="002862A0" w:rsidRDefault="002862A0" w:rsidP="002862A0">
      <w:pPr>
        <w:numPr>
          <w:ilvl w:val="0"/>
          <w:numId w:val="43"/>
        </w:numPr>
        <w:contextualSpacing/>
      </w:pPr>
      <w:r w:rsidRPr="002862A0">
        <w:t>Zjišťování a registrace škod způsobených korozí.</w:t>
      </w:r>
    </w:p>
    <w:p w:rsidR="002862A0" w:rsidRPr="002862A0" w:rsidRDefault="002862A0" w:rsidP="002862A0">
      <w:pPr>
        <w:ind w:left="1080"/>
        <w:contextualSpacing/>
      </w:pPr>
    </w:p>
    <w:p w:rsidR="002862A0" w:rsidRPr="002862A0" w:rsidRDefault="002862A0" w:rsidP="002862A0">
      <w:pPr>
        <w:numPr>
          <w:ilvl w:val="0"/>
          <w:numId w:val="42"/>
        </w:numPr>
        <w:contextualSpacing/>
      </w:pPr>
      <w:r w:rsidRPr="002862A0">
        <w:t>Nepřímé korozní ztráty</w:t>
      </w:r>
    </w:p>
    <w:p w:rsidR="002862A0" w:rsidRPr="002862A0" w:rsidRDefault="002862A0" w:rsidP="002862A0">
      <w:pPr>
        <w:numPr>
          <w:ilvl w:val="0"/>
          <w:numId w:val="44"/>
        </w:numPr>
        <w:contextualSpacing/>
      </w:pPr>
      <w:r w:rsidRPr="002862A0">
        <w:t>Ztráty vznikající výpadky při haváriích způsobených korozí a při neplánovaných opravách.</w:t>
      </w:r>
    </w:p>
    <w:p w:rsidR="002862A0" w:rsidRPr="002862A0" w:rsidRDefault="002862A0" w:rsidP="002862A0">
      <w:pPr>
        <w:numPr>
          <w:ilvl w:val="0"/>
          <w:numId w:val="44"/>
        </w:numPr>
        <w:contextualSpacing/>
      </w:pPr>
      <w:r w:rsidRPr="002862A0">
        <w:t>Ztráty materiálů (surovin, produktů) znehodnocených, nebo unikajících při haváriích.</w:t>
      </w:r>
    </w:p>
    <w:p w:rsidR="002862A0" w:rsidRPr="002862A0" w:rsidRDefault="002862A0" w:rsidP="002862A0">
      <w:pPr>
        <w:numPr>
          <w:ilvl w:val="0"/>
          <w:numId w:val="44"/>
        </w:numPr>
        <w:contextualSpacing/>
      </w:pPr>
      <w:r w:rsidRPr="002862A0">
        <w:t>Důsledky znečištění přírodního prostředí.</w:t>
      </w:r>
    </w:p>
    <w:p w:rsidR="002862A0" w:rsidRPr="002862A0" w:rsidRDefault="002862A0" w:rsidP="002862A0"/>
    <w:p w:rsidR="002862A0" w:rsidRPr="002862A0" w:rsidRDefault="002862A0" w:rsidP="002862A0">
      <w:r w:rsidRPr="002862A0">
        <w:t xml:space="preserve">Získání dokladů ke stanovení nákladů spojených s bludnými proudy je velice problematické. U většiny případů jsou poruchy způsobené bludnými proudy opravovány bez zkoumání jejich příčiny. </w:t>
      </w:r>
    </w:p>
    <w:p w:rsidR="002862A0" w:rsidRPr="002862A0" w:rsidRDefault="002862A0" w:rsidP="002862A0">
      <w:pPr>
        <w:rPr>
          <w:b/>
          <w:bCs/>
        </w:rPr>
      </w:pPr>
      <w:r w:rsidRPr="002862A0">
        <w:t>V roce 1987 byl proveden průzkum v oblasti bludných proudů a jejich rozsahu korozních účinků. Bylo hodnoceno celkem 130 došlých vyjádření jednotlivý správců. Z této studie pochází následující tabulka:</w:t>
      </w:r>
    </w:p>
    <w:p w:rsidR="002862A0" w:rsidRPr="002862A0" w:rsidRDefault="002862A0" w:rsidP="002862A0">
      <w:pPr>
        <w:rPr>
          <w:b/>
          <w:bCs/>
        </w:rPr>
      </w:pPr>
      <w:r w:rsidRPr="002862A0">
        <w:t xml:space="preserve"> </w:t>
      </w:r>
      <w:r w:rsidRPr="002862A0">
        <w:rPr>
          <w:noProof/>
        </w:rPr>
        <w:drawing>
          <wp:inline distT="0" distB="0" distL="0" distR="0" wp14:anchorId="6035E752" wp14:editId="0EF8202A">
            <wp:extent cx="3588385" cy="1112520"/>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88385" cy="1112520"/>
                    </a:xfrm>
                    <a:prstGeom prst="rect">
                      <a:avLst/>
                    </a:prstGeom>
                    <a:noFill/>
                    <a:ln>
                      <a:noFill/>
                    </a:ln>
                  </pic:spPr>
                </pic:pic>
              </a:graphicData>
            </a:graphic>
          </wp:inline>
        </w:drawing>
      </w:r>
    </w:p>
    <w:p w:rsidR="002862A0" w:rsidRPr="002862A0" w:rsidRDefault="002862A0" w:rsidP="002862A0">
      <w:pPr>
        <w:spacing w:after="0" w:line="240" w:lineRule="auto"/>
        <w:ind w:firstLine="705"/>
        <w:jc w:val="both"/>
        <w:rPr>
          <w:rFonts w:eastAsia="Times New Roman" w:cs="Arial"/>
          <w:bCs/>
        </w:rPr>
      </w:pPr>
    </w:p>
    <w:p w:rsidR="002862A0" w:rsidRPr="002862A0" w:rsidRDefault="002862A0" w:rsidP="002862A0">
      <w:pPr>
        <w:spacing w:after="0" w:line="240" w:lineRule="auto"/>
        <w:ind w:firstLine="705"/>
        <w:jc w:val="both"/>
        <w:rPr>
          <w:rFonts w:eastAsia="Times New Roman" w:cs="Arial"/>
          <w:bCs/>
        </w:rPr>
      </w:pPr>
    </w:p>
    <w:p w:rsidR="007E2307" w:rsidRDefault="007E2307">
      <w:r>
        <w:br w:type="page"/>
      </w:r>
    </w:p>
    <w:p w:rsidR="002862A0" w:rsidRPr="002862A0" w:rsidRDefault="002862A0" w:rsidP="002862A0">
      <w:r w:rsidRPr="002862A0">
        <w:lastRenderedPageBreak/>
        <w:t>Porovnáním roční spotřeby energie ČSD v roce 1986 a SŽDC v roce 2015.</w:t>
      </w:r>
    </w:p>
    <w:p w:rsidR="002862A0" w:rsidRPr="002862A0" w:rsidRDefault="002862A0" w:rsidP="002862A0">
      <w:r w:rsidRPr="002862A0">
        <w:rPr>
          <w:noProof/>
        </w:rPr>
        <w:drawing>
          <wp:inline distT="0" distB="0" distL="0" distR="0" wp14:anchorId="5FF6A9E5" wp14:editId="14E0B0B4">
            <wp:extent cx="4563110" cy="2493010"/>
            <wp:effectExtent l="0" t="0" r="8890" b="254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63110" cy="2493010"/>
                    </a:xfrm>
                    <a:prstGeom prst="rect">
                      <a:avLst/>
                    </a:prstGeom>
                    <a:noFill/>
                    <a:ln>
                      <a:noFill/>
                    </a:ln>
                  </pic:spPr>
                </pic:pic>
              </a:graphicData>
            </a:graphic>
          </wp:inline>
        </w:drawing>
      </w:r>
    </w:p>
    <w:p w:rsidR="002862A0" w:rsidRPr="002862A0" w:rsidRDefault="007E2307" w:rsidP="002862A0">
      <w:pPr>
        <w:rPr>
          <w:b/>
        </w:rPr>
      </w:pPr>
      <w:r>
        <w:rPr>
          <w:b/>
        </w:rPr>
        <w:t xml:space="preserve">Z tabulky </w:t>
      </w:r>
      <w:r w:rsidR="00623A1B">
        <w:rPr>
          <w:b/>
        </w:rPr>
        <w:t>vyplývá</w:t>
      </w:r>
      <w:r w:rsidR="002862A0" w:rsidRPr="002862A0">
        <w:rPr>
          <w:b/>
        </w:rPr>
        <w:t xml:space="preserve">, že napájecí stanice mají schopnost vyloučit 279 928 kg železa za rok. </w:t>
      </w:r>
    </w:p>
    <w:p w:rsidR="002862A0" w:rsidRPr="002862A0" w:rsidRDefault="002862A0" w:rsidP="002862A0">
      <w:r w:rsidRPr="002862A0">
        <w:t>Náklady způsobené bludnými proudy na potrubních vedeních.</w:t>
      </w:r>
    </w:p>
    <w:p w:rsidR="002862A0" w:rsidRPr="002862A0" w:rsidRDefault="002862A0" w:rsidP="002862A0">
      <w:r w:rsidRPr="002862A0">
        <w:rPr>
          <w:noProof/>
        </w:rPr>
        <w:drawing>
          <wp:inline distT="0" distB="0" distL="0" distR="0" wp14:anchorId="0AE79C32" wp14:editId="725FE37B">
            <wp:extent cx="4813300" cy="2001520"/>
            <wp:effectExtent l="0" t="0" r="635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13300" cy="2001520"/>
                    </a:xfrm>
                    <a:prstGeom prst="rect">
                      <a:avLst/>
                    </a:prstGeom>
                    <a:noFill/>
                    <a:ln>
                      <a:noFill/>
                    </a:ln>
                  </pic:spPr>
                </pic:pic>
              </a:graphicData>
            </a:graphic>
          </wp:inline>
        </w:drawing>
      </w:r>
    </w:p>
    <w:p w:rsidR="002862A0" w:rsidRPr="002862A0" w:rsidRDefault="002862A0" w:rsidP="002862A0"/>
    <w:p w:rsidR="00676CAD" w:rsidRDefault="007E2307" w:rsidP="002862A0">
      <w:pPr>
        <w:rPr>
          <w:b/>
        </w:rPr>
      </w:pPr>
      <w:r>
        <w:rPr>
          <w:b/>
          <w:sz w:val="24"/>
          <w:szCs w:val="24"/>
          <w:u w:val="single"/>
        </w:rPr>
        <w:t xml:space="preserve">Z předchozí tabulky </w:t>
      </w:r>
      <w:r w:rsidR="00623A1B">
        <w:rPr>
          <w:b/>
          <w:sz w:val="24"/>
          <w:szCs w:val="24"/>
          <w:u w:val="single"/>
        </w:rPr>
        <w:t>vyplývá</w:t>
      </w:r>
      <w:r w:rsidR="002862A0" w:rsidRPr="002862A0">
        <w:rPr>
          <w:b/>
          <w:sz w:val="24"/>
          <w:szCs w:val="24"/>
          <w:u w:val="single"/>
        </w:rPr>
        <w:t xml:space="preserve">, že pouze na potrubních vedeních </w:t>
      </w:r>
      <w:r>
        <w:rPr>
          <w:b/>
          <w:sz w:val="24"/>
          <w:szCs w:val="24"/>
          <w:u w:val="single"/>
        </w:rPr>
        <w:t xml:space="preserve">jsou </w:t>
      </w:r>
      <w:r w:rsidR="002862A0" w:rsidRPr="002862A0">
        <w:rPr>
          <w:b/>
          <w:sz w:val="24"/>
          <w:szCs w:val="24"/>
          <w:u w:val="single"/>
        </w:rPr>
        <w:t>z</w:t>
      </w:r>
      <w:r>
        <w:rPr>
          <w:b/>
          <w:sz w:val="24"/>
          <w:szCs w:val="24"/>
          <w:u w:val="single"/>
        </w:rPr>
        <w:t>tráty způsobené bludnými proudy</w:t>
      </w:r>
      <w:r w:rsidR="002862A0" w:rsidRPr="002862A0">
        <w:rPr>
          <w:b/>
          <w:sz w:val="24"/>
          <w:szCs w:val="24"/>
          <w:u w:val="single"/>
        </w:rPr>
        <w:t xml:space="preserve"> minimálně ve výši 733 mil. Kč za rok.   </w:t>
      </w:r>
      <w:r w:rsidR="00676CAD">
        <w:rPr>
          <w:b/>
        </w:rPr>
        <w:br w:type="page"/>
      </w:r>
    </w:p>
    <w:p w:rsidR="00676CAD" w:rsidRDefault="00676CAD" w:rsidP="00676CAD">
      <w:pPr>
        <w:pStyle w:val="Nadpis1"/>
        <w:ind w:left="720"/>
      </w:pPr>
      <w:bookmarkStart w:id="45" w:name="_Toc456957697"/>
      <w:r w:rsidRPr="00E86093">
        <w:lastRenderedPageBreak/>
        <w:t>6.8 Harmonogram přechodu na jednotný napájecí systém 25kV</w:t>
      </w:r>
      <w:bookmarkEnd w:id="45"/>
    </w:p>
    <w:p w:rsidR="00676CAD" w:rsidRDefault="00676CAD" w:rsidP="00676CAD"/>
    <w:p w:rsidR="00676CAD" w:rsidRDefault="00676CAD" w:rsidP="00A05E04">
      <w:pPr>
        <w:rPr>
          <w:b/>
        </w:rPr>
      </w:pPr>
      <w:bookmarkStart w:id="46" w:name="_GoBack"/>
      <w:bookmarkEnd w:id="46"/>
    </w:p>
    <w:sectPr w:rsidR="00676CAD" w:rsidSect="004D1A93">
      <w:headerReference w:type="default" r:id="rId33"/>
      <w:footerReference w:type="default" r:id="rId34"/>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6D9E" w:rsidRDefault="00426D9E" w:rsidP="00861D12">
      <w:pPr>
        <w:spacing w:after="0" w:line="240" w:lineRule="auto"/>
      </w:pPr>
      <w:r>
        <w:separator/>
      </w:r>
    </w:p>
  </w:endnote>
  <w:endnote w:type="continuationSeparator" w:id="0">
    <w:p w:rsidR="00426D9E" w:rsidRDefault="00426D9E" w:rsidP="00861D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84434"/>
      <w:docPartObj>
        <w:docPartGallery w:val="Page Numbers (Bottom of Page)"/>
        <w:docPartUnique/>
      </w:docPartObj>
    </w:sdtPr>
    <w:sdtEndPr/>
    <w:sdtContent>
      <w:p w:rsidR="00861D12" w:rsidRDefault="00B555DB">
        <w:pPr>
          <w:pStyle w:val="Zpat"/>
          <w:jc w:val="center"/>
        </w:pPr>
        <w:r>
          <w:fldChar w:fldCharType="begin"/>
        </w:r>
        <w:r>
          <w:instrText xml:space="preserve"> PAGE   \* MERGEFORMAT </w:instrText>
        </w:r>
        <w:r>
          <w:fldChar w:fldCharType="separate"/>
        </w:r>
        <w:r w:rsidR="007F66EC">
          <w:rPr>
            <w:noProof/>
          </w:rPr>
          <w:t>54</w:t>
        </w:r>
        <w:r>
          <w:rPr>
            <w:noProof/>
          </w:rPr>
          <w:fldChar w:fldCharType="end"/>
        </w:r>
      </w:p>
    </w:sdtContent>
  </w:sdt>
  <w:p w:rsidR="00861D12" w:rsidRDefault="00861D12">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6D9E" w:rsidRDefault="00426D9E" w:rsidP="00861D12">
      <w:pPr>
        <w:spacing w:after="0" w:line="240" w:lineRule="auto"/>
      </w:pPr>
      <w:r>
        <w:separator/>
      </w:r>
    </w:p>
  </w:footnote>
  <w:footnote w:type="continuationSeparator" w:id="0">
    <w:p w:rsidR="00426D9E" w:rsidRDefault="00426D9E" w:rsidP="00861D1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1A93" w:rsidRDefault="004D1A93" w:rsidP="004D1A93">
    <w:pPr>
      <w:pStyle w:val="Zhlav"/>
    </w:pPr>
    <w:r>
      <w:rPr>
        <w:noProof/>
      </w:rPr>
      <w:drawing>
        <wp:anchor distT="0" distB="0" distL="114300" distR="114300" simplePos="0" relativeHeight="251661312" behindDoc="0" locked="0" layoutInCell="1" allowOverlap="1" wp14:anchorId="46377906" wp14:editId="592AA2E3">
          <wp:simplePos x="0" y="0"/>
          <wp:positionH relativeFrom="margin">
            <wp:posOffset>4215765</wp:posOffset>
          </wp:positionH>
          <wp:positionV relativeFrom="margin">
            <wp:posOffset>-859155</wp:posOffset>
          </wp:positionV>
          <wp:extent cx="1871980" cy="311785"/>
          <wp:effectExtent l="0" t="0" r="0" b="0"/>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1980" cy="311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53B7B1C9" wp14:editId="492C4542">
              <wp:simplePos x="0" y="0"/>
              <wp:positionH relativeFrom="page">
                <wp:posOffset>838200</wp:posOffset>
              </wp:positionH>
              <wp:positionV relativeFrom="page">
                <wp:posOffset>840105</wp:posOffset>
              </wp:positionV>
              <wp:extent cx="2915920" cy="0"/>
              <wp:effectExtent l="0" t="0" r="0" b="0"/>
              <wp:wrapNone/>
              <wp:docPr id="2" name="Přímá spojnice se šipkou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5920" cy="0"/>
                      </a:xfrm>
                      <a:prstGeom prst="straightConnector1">
                        <a:avLst/>
                      </a:prstGeom>
                      <a:noFill/>
                      <a:ln w="3175">
                        <a:solidFill>
                          <a:srgbClr val="2E448E"/>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2" o:spid="_x0000_s1026" type="#_x0000_t32" style="position:absolute;margin-left:66pt;margin-top:66.15pt;width:229.6pt;height: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" strokecolor="#2e448e" strokeweight=".25pt">
              <w10:wrap anchorx="page" anchory="page"/>
            </v:shape>
          </w:pict>
        </mc:Fallback>
      </mc:AlternateContent>
    </w:r>
    <w:r>
      <w:rPr>
        <w:noProof/>
      </w:rPr>
      <w:drawing>
        <wp:anchor distT="0" distB="0" distL="114300" distR="114300" simplePos="0" relativeHeight="251659264" behindDoc="0" locked="0" layoutInCell="1" allowOverlap="1" wp14:anchorId="4269DBA1" wp14:editId="721B837B">
          <wp:simplePos x="0" y="0"/>
          <wp:positionH relativeFrom="page">
            <wp:posOffset>838200</wp:posOffset>
          </wp:positionH>
          <wp:positionV relativeFrom="page">
            <wp:posOffset>401320</wp:posOffset>
          </wp:positionV>
          <wp:extent cx="1809750" cy="365760"/>
          <wp:effectExtent l="0" t="0" r="0" b="0"/>
          <wp:wrapNone/>
          <wp:docPr id="15" name="Obrázek 15" descr="sudop_praha_hlavickovy_papir RGB zahlavi 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sudop_praha_hlavickovy_papir RGB zahlavi cz.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365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1A93" w:rsidRDefault="004D1A93" w:rsidP="004D1A93">
    <w:pPr>
      <w:pStyle w:val="Zhlav"/>
      <w:tabs>
        <w:tab w:val="clear" w:pos="4536"/>
        <w:tab w:val="left" w:pos="6960"/>
      </w:tabs>
      <w:rPr>
        <w:i/>
      </w:rPr>
    </w:pPr>
    <w:r>
      <w:rPr>
        <w:i/>
      </w:rPr>
      <w:tab/>
    </w:r>
    <w:r>
      <w:rPr>
        <w:i/>
      </w:rPr>
      <w:tab/>
    </w:r>
    <w:r>
      <w:rPr>
        <w:i/>
      </w:rPr>
      <w:tab/>
    </w:r>
  </w:p>
  <w:p w:rsidR="004D1A93" w:rsidRDefault="004D1A93">
    <w:pPr>
      <w:pStyle w:val="Zhlav"/>
    </w:pPr>
  </w:p>
  <w:p w:rsidR="004D1A93" w:rsidRDefault="004D1A9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06F1F"/>
    <w:multiLevelType w:val="hybridMultilevel"/>
    <w:tmpl w:val="2AECF210"/>
    <w:lvl w:ilvl="0" w:tplc="F95CE9F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4927B2F"/>
    <w:multiLevelType w:val="hybridMultilevel"/>
    <w:tmpl w:val="330CACA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8097951"/>
    <w:multiLevelType w:val="hybridMultilevel"/>
    <w:tmpl w:val="1FC2B0B6"/>
    <w:lvl w:ilvl="0" w:tplc="159A3066">
      <w:start w:val="3"/>
      <w:numFmt w:val="decimal"/>
      <w:lvlText w:val="%1."/>
      <w:lvlJc w:val="left"/>
      <w:pPr>
        <w:ind w:left="2844" w:hanging="72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3">
    <w:nsid w:val="08DB6F10"/>
    <w:multiLevelType w:val="hybridMultilevel"/>
    <w:tmpl w:val="1602C910"/>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4">
    <w:nsid w:val="0966470E"/>
    <w:multiLevelType w:val="hybridMultilevel"/>
    <w:tmpl w:val="9846559E"/>
    <w:lvl w:ilvl="0" w:tplc="99DAAC90">
      <w:start w:val="1"/>
      <w:numFmt w:val="decimal"/>
      <w:lvlText w:val="%1."/>
      <w:lvlJc w:val="left"/>
      <w:pPr>
        <w:ind w:left="4260" w:hanging="720"/>
      </w:pPr>
      <w:rPr>
        <w:rFonts w:hint="default"/>
      </w:rPr>
    </w:lvl>
    <w:lvl w:ilvl="1" w:tplc="04050019" w:tentative="1">
      <w:start w:val="1"/>
      <w:numFmt w:val="lowerLetter"/>
      <w:lvlText w:val="%2."/>
      <w:lvlJc w:val="left"/>
      <w:pPr>
        <w:ind w:left="4620" w:hanging="360"/>
      </w:pPr>
    </w:lvl>
    <w:lvl w:ilvl="2" w:tplc="0405001B" w:tentative="1">
      <w:start w:val="1"/>
      <w:numFmt w:val="lowerRoman"/>
      <w:lvlText w:val="%3."/>
      <w:lvlJc w:val="right"/>
      <w:pPr>
        <w:ind w:left="5340" w:hanging="180"/>
      </w:pPr>
    </w:lvl>
    <w:lvl w:ilvl="3" w:tplc="0405000F" w:tentative="1">
      <w:start w:val="1"/>
      <w:numFmt w:val="decimal"/>
      <w:lvlText w:val="%4."/>
      <w:lvlJc w:val="left"/>
      <w:pPr>
        <w:ind w:left="6060" w:hanging="360"/>
      </w:pPr>
    </w:lvl>
    <w:lvl w:ilvl="4" w:tplc="04050019" w:tentative="1">
      <w:start w:val="1"/>
      <w:numFmt w:val="lowerLetter"/>
      <w:lvlText w:val="%5."/>
      <w:lvlJc w:val="left"/>
      <w:pPr>
        <w:ind w:left="6780" w:hanging="360"/>
      </w:pPr>
    </w:lvl>
    <w:lvl w:ilvl="5" w:tplc="0405001B" w:tentative="1">
      <w:start w:val="1"/>
      <w:numFmt w:val="lowerRoman"/>
      <w:lvlText w:val="%6."/>
      <w:lvlJc w:val="right"/>
      <w:pPr>
        <w:ind w:left="7500" w:hanging="180"/>
      </w:pPr>
    </w:lvl>
    <w:lvl w:ilvl="6" w:tplc="0405000F" w:tentative="1">
      <w:start w:val="1"/>
      <w:numFmt w:val="decimal"/>
      <w:lvlText w:val="%7."/>
      <w:lvlJc w:val="left"/>
      <w:pPr>
        <w:ind w:left="8220" w:hanging="360"/>
      </w:pPr>
    </w:lvl>
    <w:lvl w:ilvl="7" w:tplc="04050019" w:tentative="1">
      <w:start w:val="1"/>
      <w:numFmt w:val="lowerLetter"/>
      <w:lvlText w:val="%8."/>
      <w:lvlJc w:val="left"/>
      <w:pPr>
        <w:ind w:left="8940" w:hanging="360"/>
      </w:pPr>
    </w:lvl>
    <w:lvl w:ilvl="8" w:tplc="0405001B" w:tentative="1">
      <w:start w:val="1"/>
      <w:numFmt w:val="lowerRoman"/>
      <w:lvlText w:val="%9."/>
      <w:lvlJc w:val="right"/>
      <w:pPr>
        <w:ind w:left="9660" w:hanging="180"/>
      </w:pPr>
    </w:lvl>
  </w:abstractNum>
  <w:abstractNum w:abstractNumId="5">
    <w:nsid w:val="0F6714EF"/>
    <w:multiLevelType w:val="hybridMultilevel"/>
    <w:tmpl w:val="796C88DC"/>
    <w:lvl w:ilvl="0" w:tplc="1ADA5FC4">
      <w:numFmt w:val="bullet"/>
      <w:lvlText w:val="-"/>
      <w:lvlJc w:val="left"/>
      <w:pPr>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6">
    <w:nsid w:val="10124789"/>
    <w:multiLevelType w:val="hybridMultilevel"/>
    <w:tmpl w:val="9916751C"/>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08A2DE7"/>
    <w:multiLevelType w:val="hybridMultilevel"/>
    <w:tmpl w:val="00C26E10"/>
    <w:lvl w:ilvl="0" w:tplc="DB9CAFC8">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
    <w:nsid w:val="136B284D"/>
    <w:multiLevelType w:val="hybridMultilevel"/>
    <w:tmpl w:val="999456AE"/>
    <w:lvl w:ilvl="0" w:tplc="4AFADFE4">
      <w:numFmt w:val="bullet"/>
      <w:lvlText w:val="-"/>
      <w:lvlJc w:val="left"/>
      <w:pPr>
        <w:ind w:left="720" w:hanging="360"/>
      </w:pPr>
      <w:rPr>
        <w:rFonts w:ascii="Calibri" w:eastAsiaTheme="minorEastAsia" w:hAnsi="Calibr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169E6319"/>
    <w:multiLevelType w:val="hybridMultilevel"/>
    <w:tmpl w:val="22AA32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D8A5B8B"/>
    <w:multiLevelType w:val="hybridMultilevel"/>
    <w:tmpl w:val="5A828BC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12F2D22"/>
    <w:multiLevelType w:val="hybridMultilevel"/>
    <w:tmpl w:val="5FD4BC82"/>
    <w:lvl w:ilvl="0" w:tplc="BDE81F90">
      <w:start w:val="2"/>
      <w:numFmt w:val="decimal"/>
      <w:lvlText w:val="%1."/>
      <w:lvlJc w:val="left"/>
      <w:pPr>
        <w:ind w:left="4980" w:hanging="720"/>
      </w:pPr>
      <w:rPr>
        <w:rFonts w:hint="default"/>
      </w:rPr>
    </w:lvl>
    <w:lvl w:ilvl="1" w:tplc="04050019" w:tentative="1">
      <w:start w:val="1"/>
      <w:numFmt w:val="lowerLetter"/>
      <w:lvlText w:val="%2."/>
      <w:lvlJc w:val="left"/>
      <w:pPr>
        <w:ind w:left="5340" w:hanging="360"/>
      </w:pPr>
    </w:lvl>
    <w:lvl w:ilvl="2" w:tplc="0405001B" w:tentative="1">
      <w:start w:val="1"/>
      <w:numFmt w:val="lowerRoman"/>
      <w:lvlText w:val="%3."/>
      <w:lvlJc w:val="right"/>
      <w:pPr>
        <w:ind w:left="6060" w:hanging="180"/>
      </w:pPr>
    </w:lvl>
    <w:lvl w:ilvl="3" w:tplc="0405000F" w:tentative="1">
      <w:start w:val="1"/>
      <w:numFmt w:val="decimal"/>
      <w:lvlText w:val="%4."/>
      <w:lvlJc w:val="left"/>
      <w:pPr>
        <w:ind w:left="6780" w:hanging="360"/>
      </w:pPr>
    </w:lvl>
    <w:lvl w:ilvl="4" w:tplc="04050019" w:tentative="1">
      <w:start w:val="1"/>
      <w:numFmt w:val="lowerLetter"/>
      <w:lvlText w:val="%5."/>
      <w:lvlJc w:val="left"/>
      <w:pPr>
        <w:ind w:left="7500" w:hanging="360"/>
      </w:pPr>
    </w:lvl>
    <w:lvl w:ilvl="5" w:tplc="0405001B" w:tentative="1">
      <w:start w:val="1"/>
      <w:numFmt w:val="lowerRoman"/>
      <w:lvlText w:val="%6."/>
      <w:lvlJc w:val="right"/>
      <w:pPr>
        <w:ind w:left="8220" w:hanging="180"/>
      </w:pPr>
    </w:lvl>
    <w:lvl w:ilvl="6" w:tplc="0405000F" w:tentative="1">
      <w:start w:val="1"/>
      <w:numFmt w:val="decimal"/>
      <w:lvlText w:val="%7."/>
      <w:lvlJc w:val="left"/>
      <w:pPr>
        <w:ind w:left="8940" w:hanging="360"/>
      </w:pPr>
    </w:lvl>
    <w:lvl w:ilvl="7" w:tplc="04050019" w:tentative="1">
      <w:start w:val="1"/>
      <w:numFmt w:val="lowerLetter"/>
      <w:lvlText w:val="%8."/>
      <w:lvlJc w:val="left"/>
      <w:pPr>
        <w:ind w:left="9660" w:hanging="360"/>
      </w:pPr>
    </w:lvl>
    <w:lvl w:ilvl="8" w:tplc="0405001B" w:tentative="1">
      <w:start w:val="1"/>
      <w:numFmt w:val="lowerRoman"/>
      <w:lvlText w:val="%9."/>
      <w:lvlJc w:val="right"/>
      <w:pPr>
        <w:ind w:left="10380" w:hanging="180"/>
      </w:pPr>
    </w:lvl>
  </w:abstractNum>
  <w:abstractNum w:abstractNumId="12">
    <w:nsid w:val="214056FA"/>
    <w:multiLevelType w:val="hybridMultilevel"/>
    <w:tmpl w:val="F6BAEE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1EA5269"/>
    <w:multiLevelType w:val="hybridMultilevel"/>
    <w:tmpl w:val="97A2A65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27896CEA"/>
    <w:multiLevelType w:val="hybridMultilevel"/>
    <w:tmpl w:val="1F56A200"/>
    <w:lvl w:ilvl="0" w:tplc="4AFADFE4">
      <w:numFmt w:val="bullet"/>
      <w:lvlText w:val="-"/>
      <w:lvlJc w:val="left"/>
      <w:pPr>
        <w:ind w:left="720" w:hanging="360"/>
      </w:pPr>
      <w:rPr>
        <w:rFonts w:ascii="Calibri" w:eastAsiaTheme="minorEastAsia" w:hAnsi="Calibr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29E611F3"/>
    <w:multiLevelType w:val="hybridMultilevel"/>
    <w:tmpl w:val="5A828BC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316F3B58"/>
    <w:multiLevelType w:val="hybridMultilevel"/>
    <w:tmpl w:val="DADA8446"/>
    <w:lvl w:ilvl="0" w:tplc="4AFADFE4">
      <w:numFmt w:val="bullet"/>
      <w:lvlText w:val="-"/>
      <w:lvlJc w:val="left"/>
      <w:pPr>
        <w:ind w:left="720" w:hanging="360"/>
      </w:pPr>
      <w:rPr>
        <w:rFonts w:ascii="Calibri" w:eastAsiaTheme="minorEastAsia" w:hAnsi="Calibr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3239710D"/>
    <w:multiLevelType w:val="hybridMultilevel"/>
    <w:tmpl w:val="6D968C04"/>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26E5033"/>
    <w:multiLevelType w:val="hybridMultilevel"/>
    <w:tmpl w:val="4FE20E84"/>
    <w:lvl w:ilvl="0" w:tplc="8F72861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9">
    <w:nsid w:val="373113C6"/>
    <w:multiLevelType w:val="hybridMultilevel"/>
    <w:tmpl w:val="910E3660"/>
    <w:lvl w:ilvl="0" w:tplc="C9FC6E4A">
      <w:start w:val="1"/>
      <w:numFmt w:val="decimal"/>
      <w:lvlText w:val="%1."/>
      <w:lvlJc w:val="left"/>
      <w:pPr>
        <w:ind w:left="1440" w:hanging="72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0">
    <w:nsid w:val="397C0493"/>
    <w:multiLevelType w:val="hybridMultilevel"/>
    <w:tmpl w:val="FF6C7EA2"/>
    <w:lvl w:ilvl="0" w:tplc="A0C66080">
      <w:start w:val="1"/>
      <w:numFmt w:val="lowerLetter"/>
      <w:lvlText w:val="%1)"/>
      <w:lvlJc w:val="left"/>
      <w:pPr>
        <w:ind w:left="720" w:hanging="360"/>
      </w:pPr>
      <w:rPr>
        <w:rFonts w:ascii="Arial" w:eastAsia="Times New Roman" w:hAnsi="Arial" w:cs="Times New Roman"/>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3AD8431F"/>
    <w:multiLevelType w:val="hybridMultilevel"/>
    <w:tmpl w:val="538EE8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3CDF7257"/>
    <w:multiLevelType w:val="hybridMultilevel"/>
    <w:tmpl w:val="B9C8AF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3">
    <w:nsid w:val="3D5D5922"/>
    <w:multiLevelType w:val="hybridMultilevel"/>
    <w:tmpl w:val="63C84FC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43710B9B"/>
    <w:multiLevelType w:val="hybridMultilevel"/>
    <w:tmpl w:val="159092E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456F6FDD"/>
    <w:multiLevelType w:val="hybridMultilevel"/>
    <w:tmpl w:val="850A50EE"/>
    <w:lvl w:ilvl="0" w:tplc="04050017">
      <w:start w:val="1"/>
      <w:numFmt w:val="lowerLetter"/>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462E106A"/>
    <w:multiLevelType w:val="hybridMultilevel"/>
    <w:tmpl w:val="0C06C69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467A7BDF"/>
    <w:multiLevelType w:val="hybridMultilevel"/>
    <w:tmpl w:val="FAD68B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49A2147B"/>
    <w:multiLevelType w:val="hybridMultilevel"/>
    <w:tmpl w:val="1AC0AB5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4E334DB1"/>
    <w:multiLevelType w:val="multilevel"/>
    <w:tmpl w:val="A134C820"/>
    <w:lvl w:ilvl="0">
      <w:start w:val="1"/>
      <w:numFmt w:val="decimal"/>
      <w:lvlText w:val="%1."/>
      <w:lvlJc w:val="left"/>
      <w:pPr>
        <w:ind w:left="720" w:hanging="360"/>
      </w:pPr>
      <w:rPr>
        <w:rFonts w:hint="default"/>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0">
    <w:nsid w:val="50225F17"/>
    <w:multiLevelType w:val="hybridMultilevel"/>
    <w:tmpl w:val="FEA8345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526E06B6"/>
    <w:multiLevelType w:val="hybridMultilevel"/>
    <w:tmpl w:val="272E870E"/>
    <w:lvl w:ilvl="0" w:tplc="E60AD0EA">
      <w:start w:val="6"/>
      <w:numFmt w:val="decimal"/>
      <w:lvlText w:val="%1."/>
      <w:lvlJc w:val="left"/>
      <w:pPr>
        <w:ind w:left="3564" w:hanging="720"/>
      </w:pPr>
      <w:rPr>
        <w:rFonts w:hint="default"/>
      </w:rPr>
    </w:lvl>
    <w:lvl w:ilvl="1" w:tplc="04050019" w:tentative="1">
      <w:start w:val="1"/>
      <w:numFmt w:val="lowerLetter"/>
      <w:lvlText w:val="%2."/>
      <w:lvlJc w:val="left"/>
      <w:pPr>
        <w:ind w:left="3924" w:hanging="360"/>
      </w:pPr>
    </w:lvl>
    <w:lvl w:ilvl="2" w:tplc="0405001B" w:tentative="1">
      <w:start w:val="1"/>
      <w:numFmt w:val="lowerRoman"/>
      <w:lvlText w:val="%3."/>
      <w:lvlJc w:val="right"/>
      <w:pPr>
        <w:ind w:left="4644" w:hanging="180"/>
      </w:pPr>
    </w:lvl>
    <w:lvl w:ilvl="3" w:tplc="0405000F" w:tentative="1">
      <w:start w:val="1"/>
      <w:numFmt w:val="decimal"/>
      <w:lvlText w:val="%4."/>
      <w:lvlJc w:val="left"/>
      <w:pPr>
        <w:ind w:left="5364" w:hanging="360"/>
      </w:pPr>
    </w:lvl>
    <w:lvl w:ilvl="4" w:tplc="04050019" w:tentative="1">
      <w:start w:val="1"/>
      <w:numFmt w:val="lowerLetter"/>
      <w:lvlText w:val="%5."/>
      <w:lvlJc w:val="left"/>
      <w:pPr>
        <w:ind w:left="6084" w:hanging="360"/>
      </w:pPr>
    </w:lvl>
    <w:lvl w:ilvl="5" w:tplc="0405001B" w:tentative="1">
      <w:start w:val="1"/>
      <w:numFmt w:val="lowerRoman"/>
      <w:lvlText w:val="%6."/>
      <w:lvlJc w:val="right"/>
      <w:pPr>
        <w:ind w:left="6804" w:hanging="180"/>
      </w:pPr>
    </w:lvl>
    <w:lvl w:ilvl="6" w:tplc="0405000F" w:tentative="1">
      <w:start w:val="1"/>
      <w:numFmt w:val="decimal"/>
      <w:lvlText w:val="%7."/>
      <w:lvlJc w:val="left"/>
      <w:pPr>
        <w:ind w:left="7524" w:hanging="360"/>
      </w:pPr>
    </w:lvl>
    <w:lvl w:ilvl="7" w:tplc="04050019" w:tentative="1">
      <w:start w:val="1"/>
      <w:numFmt w:val="lowerLetter"/>
      <w:lvlText w:val="%8."/>
      <w:lvlJc w:val="left"/>
      <w:pPr>
        <w:ind w:left="8244" w:hanging="360"/>
      </w:pPr>
    </w:lvl>
    <w:lvl w:ilvl="8" w:tplc="0405001B" w:tentative="1">
      <w:start w:val="1"/>
      <w:numFmt w:val="lowerRoman"/>
      <w:lvlText w:val="%9."/>
      <w:lvlJc w:val="right"/>
      <w:pPr>
        <w:ind w:left="8964" w:hanging="180"/>
      </w:pPr>
    </w:lvl>
  </w:abstractNum>
  <w:abstractNum w:abstractNumId="32">
    <w:nsid w:val="5A0A6D70"/>
    <w:multiLevelType w:val="hybridMultilevel"/>
    <w:tmpl w:val="8468FAB4"/>
    <w:lvl w:ilvl="0" w:tplc="4AFADFE4">
      <w:numFmt w:val="bullet"/>
      <w:lvlText w:val="-"/>
      <w:lvlJc w:val="left"/>
      <w:pPr>
        <w:ind w:left="720" w:hanging="360"/>
      </w:pPr>
      <w:rPr>
        <w:rFonts w:ascii="Calibri" w:eastAsiaTheme="minorEastAsia" w:hAnsi="Calibr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5A886197"/>
    <w:multiLevelType w:val="hybridMultilevel"/>
    <w:tmpl w:val="5DF2A460"/>
    <w:lvl w:ilvl="0" w:tplc="04050001">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69BA4110"/>
    <w:multiLevelType w:val="hybridMultilevel"/>
    <w:tmpl w:val="E4D2E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7C0A54"/>
    <w:multiLevelType w:val="hybridMultilevel"/>
    <w:tmpl w:val="CF884212"/>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36">
    <w:nsid w:val="737E0A65"/>
    <w:multiLevelType w:val="hybridMultilevel"/>
    <w:tmpl w:val="D43231FE"/>
    <w:lvl w:ilvl="0" w:tplc="4AFADFE4">
      <w:numFmt w:val="bullet"/>
      <w:lvlText w:val="-"/>
      <w:lvlJc w:val="left"/>
      <w:pPr>
        <w:ind w:left="720" w:hanging="360"/>
      </w:pPr>
      <w:rPr>
        <w:rFonts w:ascii="Calibri" w:eastAsiaTheme="minorEastAsia"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44A10AE"/>
    <w:multiLevelType w:val="hybridMultilevel"/>
    <w:tmpl w:val="3C68E906"/>
    <w:lvl w:ilvl="0" w:tplc="4AFADFE4">
      <w:numFmt w:val="bullet"/>
      <w:lvlText w:val="-"/>
      <w:lvlJc w:val="left"/>
      <w:pPr>
        <w:ind w:left="720" w:hanging="360"/>
      </w:pPr>
      <w:rPr>
        <w:rFonts w:ascii="Calibri" w:eastAsiaTheme="minorEastAsia" w:hAnsi="Calibri" w:cstheme="minorBidi"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762C5753"/>
    <w:multiLevelType w:val="hybridMultilevel"/>
    <w:tmpl w:val="EB34BBC8"/>
    <w:lvl w:ilvl="0" w:tplc="B9DEEC32">
      <w:start w:val="2"/>
      <w:numFmt w:val="decimal"/>
      <w:lvlText w:val="%1."/>
      <w:lvlJc w:val="left"/>
      <w:pPr>
        <w:ind w:left="2844" w:hanging="720"/>
      </w:pPr>
      <w:rPr>
        <w:rFonts w:hint="default"/>
      </w:rPr>
    </w:lvl>
    <w:lvl w:ilvl="1" w:tplc="04050019" w:tentative="1">
      <w:start w:val="1"/>
      <w:numFmt w:val="lowerLetter"/>
      <w:lvlText w:val="%2."/>
      <w:lvlJc w:val="left"/>
      <w:pPr>
        <w:ind w:left="3204" w:hanging="360"/>
      </w:pPr>
    </w:lvl>
    <w:lvl w:ilvl="2" w:tplc="0405001B" w:tentative="1">
      <w:start w:val="1"/>
      <w:numFmt w:val="lowerRoman"/>
      <w:lvlText w:val="%3."/>
      <w:lvlJc w:val="right"/>
      <w:pPr>
        <w:ind w:left="3924" w:hanging="180"/>
      </w:pPr>
    </w:lvl>
    <w:lvl w:ilvl="3" w:tplc="0405000F" w:tentative="1">
      <w:start w:val="1"/>
      <w:numFmt w:val="decimal"/>
      <w:lvlText w:val="%4."/>
      <w:lvlJc w:val="left"/>
      <w:pPr>
        <w:ind w:left="4644" w:hanging="360"/>
      </w:pPr>
    </w:lvl>
    <w:lvl w:ilvl="4" w:tplc="04050019" w:tentative="1">
      <w:start w:val="1"/>
      <w:numFmt w:val="lowerLetter"/>
      <w:lvlText w:val="%5."/>
      <w:lvlJc w:val="left"/>
      <w:pPr>
        <w:ind w:left="5364" w:hanging="360"/>
      </w:pPr>
    </w:lvl>
    <w:lvl w:ilvl="5" w:tplc="0405001B" w:tentative="1">
      <w:start w:val="1"/>
      <w:numFmt w:val="lowerRoman"/>
      <w:lvlText w:val="%6."/>
      <w:lvlJc w:val="right"/>
      <w:pPr>
        <w:ind w:left="6084" w:hanging="180"/>
      </w:pPr>
    </w:lvl>
    <w:lvl w:ilvl="6" w:tplc="0405000F" w:tentative="1">
      <w:start w:val="1"/>
      <w:numFmt w:val="decimal"/>
      <w:lvlText w:val="%7."/>
      <w:lvlJc w:val="left"/>
      <w:pPr>
        <w:ind w:left="6804" w:hanging="360"/>
      </w:pPr>
    </w:lvl>
    <w:lvl w:ilvl="7" w:tplc="04050019" w:tentative="1">
      <w:start w:val="1"/>
      <w:numFmt w:val="lowerLetter"/>
      <w:lvlText w:val="%8."/>
      <w:lvlJc w:val="left"/>
      <w:pPr>
        <w:ind w:left="7524" w:hanging="360"/>
      </w:pPr>
    </w:lvl>
    <w:lvl w:ilvl="8" w:tplc="0405001B" w:tentative="1">
      <w:start w:val="1"/>
      <w:numFmt w:val="lowerRoman"/>
      <w:lvlText w:val="%9."/>
      <w:lvlJc w:val="right"/>
      <w:pPr>
        <w:ind w:left="8244" w:hanging="180"/>
      </w:pPr>
    </w:lvl>
  </w:abstractNum>
  <w:abstractNum w:abstractNumId="39">
    <w:nsid w:val="7AE90930"/>
    <w:multiLevelType w:val="hybridMultilevel"/>
    <w:tmpl w:val="6F94E9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B357BFC"/>
    <w:multiLevelType w:val="hybridMultilevel"/>
    <w:tmpl w:val="4B44BED2"/>
    <w:lvl w:ilvl="0" w:tplc="04050017">
      <w:start w:val="1"/>
      <w:numFmt w:val="lowerLetter"/>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41">
    <w:nsid w:val="7C256D65"/>
    <w:multiLevelType w:val="hybridMultilevel"/>
    <w:tmpl w:val="7116D4B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7C435E60"/>
    <w:multiLevelType w:val="hybridMultilevel"/>
    <w:tmpl w:val="E102C684"/>
    <w:lvl w:ilvl="0" w:tplc="5CE65D3A">
      <w:numFmt w:val="bullet"/>
      <w:lvlText w:val="-"/>
      <w:lvlJc w:val="left"/>
      <w:pPr>
        <w:ind w:left="720" w:hanging="360"/>
      </w:pPr>
      <w:rPr>
        <w:rFonts w:ascii="Calibri" w:eastAsiaTheme="minorEastAsia"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E211CD5"/>
    <w:multiLevelType w:val="hybridMultilevel"/>
    <w:tmpl w:val="C1DA841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36"/>
  </w:num>
  <w:num w:numId="2">
    <w:abstractNumId w:val="30"/>
  </w:num>
  <w:num w:numId="3">
    <w:abstractNumId w:val="23"/>
  </w:num>
  <w:num w:numId="4">
    <w:abstractNumId w:val="24"/>
  </w:num>
  <w:num w:numId="5">
    <w:abstractNumId w:val="14"/>
  </w:num>
  <w:num w:numId="6">
    <w:abstractNumId w:val="16"/>
  </w:num>
  <w:num w:numId="7">
    <w:abstractNumId w:val="37"/>
  </w:num>
  <w:num w:numId="8">
    <w:abstractNumId w:val="8"/>
  </w:num>
  <w:num w:numId="9">
    <w:abstractNumId w:val="32"/>
  </w:num>
  <w:num w:numId="10">
    <w:abstractNumId w:val="17"/>
  </w:num>
  <w:num w:numId="11">
    <w:abstractNumId w:val="21"/>
  </w:num>
  <w:num w:numId="12">
    <w:abstractNumId w:val="1"/>
  </w:num>
  <w:num w:numId="13">
    <w:abstractNumId w:val="9"/>
  </w:num>
  <w:num w:numId="14">
    <w:abstractNumId w:val="6"/>
  </w:num>
  <w:num w:numId="15">
    <w:abstractNumId w:val="0"/>
  </w:num>
  <w:num w:numId="16">
    <w:abstractNumId w:val="42"/>
  </w:num>
  <w:num w:numId="17">
    <w:abstractNumId w:val="41"/>
  </w:num>
  <w:num w:numId="18">
    <w:abstractNumId w:val="29"/>
  </w:num>
  <w:num w:numId="19">
    <w:abstractNumId w:val="19"/>
  </w:num>
  <w:num w:numId="20">
    <w:abstractNumId w:val="4"/>
  </w:num>
  <w:num w:numId="21">
    <w:abstractNumId w:val="11"/>
  </w:num>
  <w:num w:numId="22">
    <w:abstractNumId w:val="38"/>
  </w:num>
  <w:num w:numId="23">
    <w:abstractNumId w:val="2"/>
  </w:num>
  <w:num w:numId="24">
    <w:abstractNumId w:val="22"/>
  </w:num>
  <w:num w:numId="25">
    <w:abstractNumId w:val="13"/>
  </w:num>
  <w:num w:numId="26">
    <w:abstractNumId w:val="34"/>
  </w:num>
  <w:num w:numId="27">
    <w:abstractNumId w:val="31"/>
  </w:num>
  <w:num w:numId="28">
    <w:abstractNumId w:val="15"/>
  </w:num>
  <w:num w:numId="29">
    <w:abstractNumId w:val="10"/>
  </w:num>
  <w:num w:numId="30">
    <w:abstractNumId w:val="25"/>
  </w:num>
  <w:num w:numId="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
  </w:num>
  <w:num w:numId="33">
    <w:abstractNumId w:val="5"/>
  </w:num>
  <w:num w:numId="34">
    <w:abstractNumId w:val="20"/>
  </w:num>
  <w:num w:numId="35">
    <w:abstractNumId w:val="39"/>
  </w:num>
  <w:num w:numId="36">
    <w:abstractNumId w:val="33"/>
  </w:num>
  <w:num w:numId="37">
    <w:abstractNumId w:val="43"/>
  </w:num>
  <w:num w:numId="38">
    <w:abstractNumId w:val="27"/>
  </w:num>
  <w:num w:numId="39">
    <w:abstractNumId w:val="12"/>
  </w:num>
  <w:num w:numId="40">
    <w:abstractNumId w:val="3"/>
  </w:num>
  <w:num w:numId="41">
    <w:abstractNumId w:val="35"/>
  </w:num>
  <w:num w:numId="42">
    <w:abstractNumId w:val="28"/>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7D12"/>
    <w:rsid w:val="00017372"/>
    <w:rsid w:val="0002043D"/>
    <w:rsid w:val="00032216"/>
    <w:rsid w:val="00034D26"/>
    <w:rsid w:val="00047C91"/>
    <w:rsid w:val="000574E3"/>
    <w:rsid w:val="00061ECF"/>
    <w:rsid w:val="000712DD"/>
    <w:rsid w:val="00090852"/>
    <w:rsid w:val="000F43C7"/>
    <w:rsid w:val="00100BAB"/>
    <w:rsid w:val="00100EEF"/>
    <w:rsid w:val="001361C2"/>
    <w:rsid w:val="00146333"/>
    <w:rsid w:val="00146EE9"/>
    <w:rsid w:val="00154E1A"/>
    <w:rsid w:val="00172FA6"/>
    <w:rsid w:val="00192406"/>
    <w:rsid w:val="00194562"/>
    <w:rsid w:val="001A38F2"/>
    <w:rsid w:val="001A75EA"/>
    <w:rsid w:val="001B735D"/>
    <w:rsid w:val="001C0AE2"/>
    <w:rsid w:val="001C3BCB"/>
    <w:rsid w:val="001D47DA"/>
    <w:rsid w:val="001F78F5"/>
    <w:rsid w:val="0023097B"/>
    <w:rsid w:val="00256508"/>
    <w:rsid w:val="0025691F"/>
    <w:rsid w:val="00257D12"/>
    <w:rsid w:val="002646FE"/>
    <w:rsid w:val="002862A0"/>
    <w:rsid w:val="002A6DEA"/>
    <w:rsid w:val="002B3211"/>
    <w:rsid w:val="002C15F4"/>
    <w:rsid w:val="002E09BE"/>
    <w:rsid w:val="0033227F"/>
    <w:rsid w:val="00334EDB"/>
    <w:rsid w:val="00344D3B"/>
    <w:rsid w:val="00345671"/>
    <w:rsid w:val="00351AF9"/>
    <w:rsid w:val="00363968"/>
    <w:rsid w:val="003803B3"/>
    <w:rsid w:val="00387CCF"/>
    <w:rsid w:val="00391068"/>
    <w:rsid w:val="00393996"/>
    <w:rsid w:val="0039613D"/>
    <w:rsid w:val="00396E59"/>
    <w:rsid w:val="003C738C"/>
    <w:rsid w:val="003D6093"/>
    <w:rsid w:val="00426D9E"/>
    <w:rsid w:val="00445E9D"/>
    <w:rsid w:val="00450080"/>
    <w:rsid w:val="00477016"/>
    <w:rsid w:val="00482543"/>
    <w:rsid w:val="0048625B"/>
    <w:rsid w:val="004A257D"/>
    <w:rsid w:val="004A2E4A"/>
    <w:rsid w:val="004A567A"/>
    <w:rsid w:val="004B4F91"/>
    <w:rsid w:val="004C1A3A"/>
    <w:rsid w:val="004D1A93"/>
    <w:rsid w:val="004F4A16"/>
    <w:rsid w:val="00502278"/>
    <w:rsid w:val="00531EB8"/>
    <w:rsid w:val="005501D5"/>
    <w:rsid w:val="00570C88"/>
    <w:rsid w:val="00570EE8"/>
    <w:rsid w:val="00586974"/>
    <w:rsid w:val="00586ECE"/>
    <w:rsid w:val="005A3C1F"/>
    <w:rsid w:val="005A4551"/>
    <w:rsid w:val="005E6056"/>
    <w:rsid w:val="005F098A"/>
    <w:rsid w:val="006178AB"/>
    <w:rsid w:val="00623A1B"/>
    <w:rsid w:val="00627928"/>
    <w:rsid w:val="006320CA"/>
    <w:rsid w:val="00632A0C"/>
    <w:rsid w:val="00632BB8"/>
    <w:rsid w:val="00633B4D"/>
    <w:rsid w:val="00661679"/>
    <w:rsid w:val="00667FBC"/>
    <w:rsid w:val="00676CAD"/>
    <w:rsid w:val="00683EBE"/>
    <w:rsid w:val="006A3E81"/>
    <w:rsid w:val="006C4F6B"/>
    <w:rsid w:val="006D66BB"/>
    <w:rsid w:val="006D77EA"/>
    <w:rsid w:val="006F0DB1"/>
    <w:rsid w:val="006F5B68"/>
    <w:rsid w:val="006F792A"/>
    <w:rsid w:val="007125D4"/>
    <w:rsid w:val="00744613"/>
    <w:rsid w:val="00750B57"/>
    <w:rsid w:val="00791AF1"/>
    <w:rsid w:val="007E2307"/>
    <w:rsid w:val="007E3FDF"/>
    <w:rsid w:val="007F66EC"/>
    <w:rsid w:val="00841BB7"/>
    <w:rsid w:val="00861D12"/>
    <w:rsid w:val="00884F7D"/>
    <w:rsid w:val="008A23E4"/>
    <w:rsid w:val="008A3A4E"/>
    <w:rsid w:val="008A6DF6"/>
    <w:rsid w:val="0093334E"/>
    <w:rsid w:val="009440EB"/>
    <w:rsid w:val="00946492"/>
    <w:rsid w:val="00946AE4"/>
    <w:rsid w:val="009570DB"/>
    <w:rsid w:val="009634B6"/>
    <w:rsid w:val="00985FEA"/>
    <w:rsid w:val="00986E0B"/>
    <w:rsid w:val="00994724"/>
    <w:rsid w:val="009A0505"/>
    <w:rsid w:val="009B38DF"/>
    <w:rsid w:val="009C653E"/>
    <w:rsid w:val="009E00C4"/>
    <w:rsid w:val="009F2497"/>
    <w:rsid w:val="009F24D6"/>
    <w:rsid w:val="009F4D27"/>
    <w:rsid w:val="00A05E04"/>
    <w:rsid w:val="00A25F18"/>
    <w:rsid w:val="00A63DCE"/>
    <w:rsid w:val="00A64BBE"/>
    <w:rsid w:val="00A954F7"/>
    <w:rsid w:val="00AA3430"/>
    <w:rsid w:val="00AD7DEC"/>
    <w:rsid w:val="00AF53BB"/>
    <w:rsid w:val="00B37928"/>
    <w:rsid w:val="00B555DB"/>
    <w:rsid w:val="00B847E2"/>
    <w:rsid w:val="00BA2166"/>
    <w:rsid w:val="00BA43A2"/>
    <w:rsid w:val="00BC55CE"/>
    <w:rsid w:val="00BD0DA0"/>
    <w:rsid w:val="00BE0B1E"/>
    <w:rsid w:val="00C0792D"/>
    <w:rsid w:val="00C3271E"/>
    <w:rsid w:val="00C33765"/>
    <w:rsid w:val="00C731C6"/>
    <w:rsid w:val="00C7659E"/>
    <w:rsid w:val="00C81847"/>
    <w:rsid w:val="00C95759"/>
    <w:rsid w:val="00C97E8E"/>
    <w:rsid w:val="00CC0E96"/>
    <w:rsid w:val="00CE116E"/>
    <w:rsid w:val="00D0167B"/>
    <w:rsid w:val="00D01B06"/>
    <w:rsid w:val="00D05E57"/>
    <w:rsid w:val="00D17E55"/>
    <w:rsid w:val="00D2075A"/>
    <w:rsid w:val="00D340EA"/>
    <w:rsid w:val="00D3424C"/>
    <w:rsid w:val="00D60C55"/>
    <w:rsid w:val="00D60F8C"/>
    <w:rsid w:val="00D9041F"/>
    <w:rsid w:val="00DC2289"/>
    <w:rsid w:val="00DD0139"/>
    <w:rsid w:val="00DE07B6"/>
    <w:rsid w:val="00E308A8"/>
    <w:rsid w:val="00E611C0"/>
    <w:rsid w:val="00E74E39"/>
    <w:rsid w:val="00E86093"/>
    <w:rsid w:val="00E968A1"/>
    <w:rsid w:val="00ED2701"/>
    <w:rsid w:val="00F02B62"/>
    <w:rsid w:val="00F05526"/>
    <w:rsid w:val="00F36596"/>
    <w:rsid w:val="00F76389"/>
    <w:rsid w:val="00F8779F"/>
    <w:rsid w:val="00FA7CBD"/>
    <w:rsid w:val="00FC2BA2"/>
    <w:rsid w:val="00FC42E2"/>
    <w:rsid w:val="00FC5BF8"/>
    <w:rsid w:val="00FD09E8"/>
    <w:rsid w:val="00FE3FA9"/>
    <w:rsid w:val="00FE5AA0"/>
    <w:rsid w:val="00FF36A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velope return"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464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9464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D1A93"/>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4D1A93"/>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4D1A9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047C91"/>
    <w:pPr>
      <w:ind w:left="720"/>
      <w:contextualSpacing/>
    </w:pPr>
  </w:style>
  <w:style w:type="paragraph" w:styleId="Normlnweb">
    <w:name w:val="Normal (Web)"/>
    <w:basedOn w:val="Normln"/>
    <w:uiPriority w:val="99"/>
    <w:semiHidden/>
    <w:unhideWhenUsed/>
    <w:rsid w:val="00750B5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1Char">
    <w:name w:val="Nadpis 1 Char"/>
    <w:basedOn w:val="Standardnpsmoodstavce"/>
    <w:link w:val="Nadpis1"/>
    <w:uiPriority w:val="9"/>
    <w:rsid w:val="00946492"/>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946492"/>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861D1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61D12"/>
  </w:style>
  <w:style w:type="paragraph" w:styleId="Zpat">
    <w:name w:val="footer"/>
    <w:basedOn w:val="Normln"/>
    <w:link w:val="ZpatChar"/>
    <w:uiPriority w:val="99"/>
    <w:unhideWhenUsed/>
    <w:rsid w:val="00861D12"/>
    <w:pPr>
      <w:tabs>
        <w:tab w:val="center" w:pos="4536"/>
        <w:tab w:val="right" w:pos="9072"/>
      </w:tabs>
      <w:spacing w:after="0" w:line="240" w:lineRule="auto"/>
    </w:pPr>
  </w:style>
  <w:style w:type="character" w:customStyle="1" w:styleId="ZpatChar">
    <w:name w:val="Zápatí Char"/>
    <w:basedOn w:val="Standardnpsmoodstavce"/>
    <w:link w:val="Zpat"/>
    <w:uiPriority w:val="99"/>
    <w:rsid w:val="00861D12"/>
  </w:style>
  <w:style w:type="character" w:customStyle="1" w:styleId="Nadpis3Char">
    <w:name w:val="Nadpis 3 Char"/>
    <w:basedOn w:val="Standardnpsmoodstavce"/>
    <w:link w:val="Nadpis3"/>
    <w:uiPriority w:val="9"/>
    <w:rsid w:val="004D1A93"/>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4D1A93"/>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4D1A93"/>
    <w:rPr>
      <w:rFonts w:asciiTheme="majorHAnsi" w:eastAsiaTheme="majorEastAsia" w:hAnsiTheme="majorHAnsi" w:cstheme="majorBidi"/>
      <w:color w:val="243F60" w:themeColor="accent1" w:themeShade="7F"/>
    </w:rPr>
  </w:style>
  <w:style w:type="paragraph" w:styleId="Bezmezer">
    <w:name w:val="No Spacing"/>
    <w:link w:val="BezmezerChar"/>
    <w:uiPriority w:val="1"/>
    <w:qFormat/>
    <w:rsid w:val="004D1A93"/>
    <w:pPr>
      <w:spacing w:after="0" w:line="240" w:lineRule="auto"/>
    </w:pPr>
  </w:style>
  <w:style w:type="character" w:customStyle="1" w:styleId="BezmezerChar">
    <w:name w:val="Bez mezer Char"/>
    <w:basedOn w:val="Standardnpsmoodstavce"/>
    <w:link w:val="Bezmezer"/>
    <w:uiPriority w:val="1"/>
    <w:rsid w:val="004D1A93"/>
  </w:style>
  <w:style w:type="paragraph" w:styleId="Textbubliny">
    <w:name w:val="Balloon Text"/>
    <w:basedOn w:val="Normln"/>
    <w:link w:val="TextbublinyChar"/>
    <w:uiPriority w:val="99"/>
    <w:semiHidden/>
    <w:unhideWhenUsed/>
    <w:rsid w:val="004D1A9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D1A93"/>
    <w:rPr>
      <w:rFonts w:ascii="Tahoma" w:hAnsi="Tahoma" w:cs="Tahoma"/>
      <w:sz w:val="16"/>
      <w:szCs w:val="16"/>
    </w:rPr>
  </w:style>
  <w:style w:type="paragraph" w:styleId="Nadpisobsahu">
    <w:name w:val="TOC Heading"/>
    <w:basedOn w:val="Nadpis1"/>
    <w:next w:val="Normln"/>
    <w:uiPriority w:val="39"/>
    <w:semiHidden/>
    <w:unhideWhenUsed/>
    <w:qFormat/>
    <w:rsid w:val="004D1A93"/>
    <w:pPr>
      <w:outlineLvl w:val="9"/>
    </w:pPr>
  </w:style>
  <w:style w:type="paragraph" w:styleId="Obsah1">
    <w:name w:val="toc 1"/>
    <w:basedOn w:val="Normln"/>
    <w:next w:val="Normln"/>
    <w:autoRedefine/>
    <w:uiPriority w:val="39"/>
    <w:unhideWhenUsed/>
    <w:rsid w:val="004D1A93"/>
    <w:pPr>
      <w:spacing w:after="100"/>
    </w:pPr>
  </w:style>
  <w:style w:type="paragraph" w:styleId="Obsah2">
    <w:name w:val="toc 2"/>
    <w:basedOn w:val="Normln"/>
    <w:next w:val="Normln"/>
    <w:autoRedefine/>
    <w:uiPriority w:val="39"/>
    <w:unhideWhenUsed/>
    <w:rsid w:val="004D1A93"/>
    <w:pPr>
      <w:spacing w:after="100"/>
      <w:ind w:left="220"/>
    </w:pPr>
  </w:style>
  <w:style w:type="paragraph" w:styleId="Obsah3">
    <w:name w:val="toc 3"/>
    <w:basedOn w:val="Normln"/>
    <w:next w:val="Normln"/>
    <w:autoRedefine/>
    <w:uiPriority w:val="39"/>
    <w:unhideWhenUsed/>
    <w:rsid w:val="004D1A93"/>
    <w:pPr>
      <w:spacing w:after="100"/>
      <w:ind w:left="440"/>
    </w:pPr>
  </w:style>
  <w:style w:type="character" w:styleId="Hypertextovodkaz">
    <w:name w:val="Hyperlink"/>
    <w:basedOn w:val="Standardnpsmoodstavce"/>
    <w:uiPriority w:val="99"/>
    <w:unhideWhenUsed/>
    <w:rsid w:val="004D1A93"/>
    <w:rPr>
      <w:color w:val="0000FF" w:themeColor="hyperlink"/>
      <w:u w:val="single"/>
    </w:rPr>
  </w:style>
  <w:style w:type="paragraph" w:styleId="Zptenadresanaoblku">
    <w:name w:val="envelope return"/>
    <w:basedOn w:val="Normln"/>
    <w:semiHidden/>
    <w:rsid w:val="00F76389"/>
    <w:pPr>
      <w:spacing w:after="0" w:line="240" w:lineRule="auto"/>
    </w:pPr>
    <w:rPr>
      <w:rFonts w:ascii="Times New Roman" w:eastAsia="Times New Roman" w:hAnsi="Times New Roman" w:cs="Times New Roman"/>
      <w:sz w:val="20"/>
      <w:szCs w:val="20"/>
    </w:rPr>
  </w:style>
  <w:style w:type="character" w:customStyle="1" w:styleId="mw-mmv-title">
    <w:name w:val="mw-mmv-title"/>
    <w:basedOn w:val="Standardnpsmoodstavce"/>
    <w:rsid w:val="0033227F"/>
  </w:style>
  <w:style w:type="table" w:styleId="Mkatabulky">
    <w:name w:val="Table Grid"/>
    <w:basedOn w:val="Normlntabulka"/>
    <w:uiPriority w:val="59"/>
    <w:rsid w:val="00D01B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eznam1zvraznn5">
    <w:name w:val="Medium List 1 Accent 5"/>
    <w:basedOn w:val="Normlntabulka"/>
    <w:uiPriority w:val="65"/>
    <w:rsid w:val="00AF53BB"/>
    <w:pPr>
      <w:spacing w:after="0" w:line="240" w:lineRule="auto"/>
    </w:pPr>
    <w:rPr>
      <w:rFonts w:eastAsiaTheme="minorHAnsi"/>
      <w:color w:val="000000" w:themeColor="text1"/>
      <w:lang w:eastAsia="en-US"/>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customStyle="1" w:styleId="Svtlstnovnzvraznn11">
    <w:name w:val="Světlé stínování – zvýraznění 11"/>
    <w:basedOn w:val="Normlntabulka"/>
    <w:next w:val="Svtlstnovnzvraznn1"/>
    <w:uiPriority w:val="60"/>
    <w:rsid w:val="00AF53BB"/>
    <w:pPr>
      <w:spacing w:after="0" w:line="240" w:lineRule="auto"/>
    </w:pPr>
    <w:rPr>
      <w:rFonts w:eastAsia="Calibri"/>
      <w:color w:val="365F91"/>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zvraznn1">
    <w:name w:val="Light Shading Accent 1"/>
    <w:basedOn w:val="Normlntabulka"/>
    <w:uiPriority w:val="60"/>
    <w:rsid w:val="00AF53B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dstn">
    <w:name w:val="_odst.n"/>
    <w:basedOn w:val="Normln"/>
    <w:rsid w:val="009C653E"/>
    <w:pPr>
      <w:tabs>
        <w:tab w:val="left" w:pos="567"/>
      </w:tabs>
      <w:spacing w:before="120" w:after="0" w:line="240" w:lineRule="auto"/>
      <w:ind w:firstLine="567"/>
      <w:jc w:val="both"/>
    </w:pPr>
    <w:rPr>
      <w:rFonts w:ascii="Times New Roman" w:eastAsia="Times New Roman" w:hAnsi="Times New Roman" w:cs="Times New Roman"/>
      <w:szCs w:val="20"/>
    </w:rPr>
  </w:style>
  <w:style w:type="paragraph" w:customStyle="1" w:styleId="Odstavec1">
    <w:name w:val="Odstavec_1"/>
    <w:basedOn w:val="Normln"/>
    <w:link w:val="Odstavec1Char1"/>
    <w:autoRedefine/>
    <w:rsid w:val="00A25F18"/>
    <w:pPr>
      <w:keepNext/>
      <w:autoSpaceDE w:val="0"/>
      <w:autoSpaceDN w:val="0"/>
      <w:adjustRightInd w:val="0"/>
      <w:spacing w:before="120" w:after="120" w:line="312" w:lineRule="auto"/>
      <w:jc w:val="both"/>
    </w:pPr>
    <w:rPr>
      <w:rFonts w:ascii="Arial" w:eastAsia="Times New Roman" w:hAnsi="Arial" w:cs="Times New Roman"/>
      <w:sz w:val="20"/>
      <w:szCs w:val="28"/>
      <w:lang w:eastAsia="x-none"/>
    </w:rPr>
  </w:style>
  <w:style w:type="character" w:customStyle="1" w:styleId="Odstavec1Char1">
    <w:name w:val="Odstavec_1 Char1"/>
    <w:link w:val="Odstavec1"/>
    <w:locked/>
    <w:rsid w:val="00A25F18"/>
    <w:rPr>
      <w:rFonts w:ascii="Arial" w:eastAsia="Times New Roman" w:hAnsi="Arial" w:cs="Times New Roman"/>
      <w:sz w:val="20"/>
      <w:szCs w:val="28"/>
      <w:lang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velope return"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9464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94649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4D1A93"/>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4D1A93"/>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4D1A9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047C91"/>
    <w:pPr>
      <w:ind w:left="720"/>
      <w:contextualSpacing/>
    </w:pPr>
  </w:style>
  <w:style w:type="paragraph" w:styleId="Normlnweb">
    <w:name w:val="Normal (Web)"/>
    <w:basedOn w:val="Normln"/>
    <w:uiPriority w:val="99"/>
    <w:semiHidden/>
    <w:unhideWhenUsed/>
    <w:rsid w:val="00750B5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1Char">
    <w:name w:val="Nadpis 1 Char"/>
    <w:basedOn w:val="Standardnpsmoodstavce"/>
    <w:link w:val="Nadpis1"/>
    <w:uiPriority w:val="9"/>
    <w:rsid w:val="00946492"/>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946492"/>
    <w:rPr>
      <w:rFonts w:asciiTheme="majorHAnsi" w:eastAsiaTheme="majorEastAsia" w:hAnsiTheme="majorHAnsi" w:cstheme="majorBidi"/>
      <w:b/>
      <w:bCs/>
      <w:color w:val="4F81BD" w:themeColor="accent1"/>
      <w:sz w:val="26"/>
      <w:szCs w:val="26"/>
    </w:rPr>
  </w:style>
  <w:style w:type="paragraph" w:styleId="Zhlav">
    <w:name w:val="header"/>
    <w:basedOn w:val="Normln"/>
    <w:link w:val="ZhlavChar"/>
    <w:uiPriority w:val="99"/>
    <w:unhideWhenUsed/>
    <w:rsid w:val="00861D1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61D12"/>
  </w:style>
  <w:style w:type="paragraph" w:styleId="Zpat">
    <w:name w:val="footer"/>
    <w:basedOn w:val="Normln"/>
    <w:link w:val="ZpatChar"/>
    <w:uiPriority w:val="99"/>
    <w:unhideWhenUsed/>
    <w:rsid w:val="00861D12"/>
    <w:pPr>
      <w:tabs>
        <w:tab w:val="center" w:pos="4536"/>
        <w:tab w:val="right" w:pos="9072"/>
      </w:tabs>
      <w:spacing w:after="0" w:line="240" w:lineRule="auto"/>
    </w:pPr>
  </w:style>
  <w:style w:type="character" w:customStyle="1" w:styleId="ZpatChar">
    <w:name w:val="Zápatí Char"/>
    <w:basedOn w:val="Standardnpsmoodstavce"/>
    <w:link w:val="Zpat"/>
    <w:uiPriority w:val="99"/>
    <w:rsid w:val="00861D12"/>
  </w:style>
  <w:style w:type="character" w:customStyle="1" w:styleId="Nadpis3Char">
    <w:name w:val="Nadpis 3 Char"/>
    <w:basedOn w:val="Standardnpsmoodstavce"/>
    <w:link w:val="Nadpis3"/>
    <w:uiPriority w:val="9"/>
    <w:rsid w:val="004D1A93"/>
    <w:rPr>
      <w:rFonts w:asciiTheme="majorHAnsi" w:eastAsiaTheme="majorEastAsia" w:hAnsiTheme="majorHAnsi" w:cstheme="majorBidi"/>
      <w:b/>
      <w:bCs/>
      <w:color w:val="4F81BD" w:themeColor="accent1"/>
    </w:rPr>
  </w:style>
  <w:style w:type="character" w:customStyle="1" w:styleId="Nadpis4Char">
    <w:name w:val="Nadpis 4 Char"/>
    <w:basedOn w:val="Standardnpsmoodstavce"/>
    <w:link w:val="Nadpis4"/>
    <w:uiPriority w:val="9"/>
    <w:rsid w:val="004D1A93"/>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4D1A93"/>
    <w:rPr>
      <w:rFonts w:asciiTheme="majorHAnsi" w:eastAsiaTheme="majorEastAsia" w:hAnsiTheme="majorHAnsi" w:cstheme="majorBidi"/>
      <w:color w:val="243F60" w:themeColor="accent1" w:themeShade="7F"/>
    </w:rPr>
  </w:style>
  <w:style w:type="paragraph" w:styleId="Bezmezer">
    <w:name w:val="No Spacing"/>
    <w:link w:val="BezmezerChar"/>
    <w:uiPriority w:val="1"/>
    <w:qFormat/>
    <w:rsid w:val="004D1A93"/>
    <w:pPr>
      <w:spacing w:after="0" w:line="240" w:lineRule="auto"/>
    </w:pPr>
  </w:style>
  <w:style w:type="character" w:customStyle="1" w:styleId="BezmezerChar">
    <w:name w:val="Bez mezer Char"/>
    <w:basedOn w:val="Standardnpsmoodstavce"/>
    <w:link w:val="Bezmezer"/>
    <w:uiPriority w:val="1"/>
    <w:rsid w:val="004D1A93"/>
  </w:style>
  <w:style w:type="paragraph" w:styleId="Textbubliny">
    <w:name w:val="Balloon Text"/>
    <w:basedOn w:val="Normln"/>
    <w:link w:val="TextbublinyChar"/>
    <w:uiPriority w:val="99"/>
    <w:semiHidden/>
    <w:unhideWhenUsed/>
    <w:rsid w:val="004D1A9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D1A93"/>
    <w:rPr>
      <w:rFonts w:ascii="Tahoma" w:hAnsi="Tahoma" w:cs="Tahoma"/>
      <w:sz w:val="16"/>
      <w:szCs w:val="16"/>
    </w:rPr>
  </w:style>
  <w:style w:type="paragraph" w:styleId="Nadpisobsahu">
    <w:name w:val="TOC Heading"/>
    <w:basedOn w:val="Nadpis1"/>
    <w:next w:val="Normln"/>
    <w:uiPriority w:val="39"/>
    <w:semiHidden/>
    <w:unhideWhenUsed/>
    <w:qFormat/>
    <w:rsid w:val="004D1A93"/>
    <w:pPr>
      <w:outlineLvl w:val="9"/>
    </w:pPr>
  </w:style>
  <w:style w:type="paragraph" w:styleId="Obsah1">
    <w:name w:val="toc 1"/>
    <w:basedOn w:val="Normln"/>
    <w:next w:val="Normln"/>
    <w:autoRedefine/>
    <w:uiPriority w:val="39"/>
    <w:unhideWhenUsed/>
    <w:rsid w:val="004D1A93"/>
    <w:pPr>
      <w:spacing w:after="100"/>
    </w:pPr>
  </w:style>
  <w:style w:type="paragraph" w:styleId="Obsah2">
    <w:name w:val="toc 2"/>
    <w:basedOn w:val="Normln"/>
    <w:next w:val="Normln"/>
    <w:autoRedefine/>
    <w:uiPriority w:val="39"/>
    <w:unhideWhenUsed/>
    <w:rsid w:val="004D1A93"/>
    <w:pPr>
      <w:spacing w:after="100"/>
      <w:ind w:left="220"/>
    </w:pPr>
  </w:style>
  <w:style w:type="paragraph" w:styleId="Obsah3">
    <w:name w:val="toc 3"/>
    <w:basedOn w:val="Normln"/>
    <w:next w:val="Normln"/>
    <w:autoRedefine/>
    <w:uiPriority w:val="39"/>
    <w:unhideWhenUsed/>
    <w:rsid w:val="004D1A93"/>
    <w:pPr>
      <w:spacing w:after="100"/>
      <w:ind w:left="440"/>
    </w:pPr>
  </w:style>
  <w:style w:type="character" w:styleId="Hypertextovodkaz">
    <w:name w:val="Hyperlink"/>
    <w:basedOn w:val="Standardnpsmoodstavce"/>
    <w:uiPriority w:val="99"/>
    <w:unhideWhenUsed/>
    <w:rsid w:val="004D1A93"/>
    <w:rPr>
      <w:color w:val="0000FF" w:themeColor="hyperlink"/>
      <w:u w:val="single"/>
    </w:rPr>
  </w:style>
  <w:style w:type="paragraph" w:styleId="Zptenadresanaoblku">
    <w:name w:val="envelope return"/>
    <w:basedOn w:val="Normln"/>
    <w:semiHidden/>
    <w:rsid w:val="00F76389"/>
    <w:pPr>
      <w:spacing w:after="0" w:line="240" w:lineRule="auto"/>
    </w:pPr>
    <w:rPr>
      <w:rFonts w:ascii="Times New Roman" w:eastAsia="Times New Roman" w:hAnsi="Times New Roman" w:cs="Times New Roman"/>
      <w:sz w:val="20"/>
      <w:szCs w:val="20"/>
    </w:rPr>
  </w:style>
  <w:style w:type="character" w:customStyle="1" w:styleId="mw-mmv-title">
    <w:name w:val="mw-mmv-title"/>
    <w:basedOn w:val="Standardnpsmoodstavce"/>
    <w:rsid w:val="0033227F"/>
  </w:style>
  <w:style w:type="table" w:styleId="Mkatabulky">
    <w:name w:val="Table Grid"/>
    <w:basedOn w:val="Normlntabulka"/>
    <w:uiPriority w:val="59"/>
    <w:rsid w:val="00D01B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tednseznam1zvraznn5">
    <w:name w:val="Medium List 1 Accent 5"/>
    <w:basedOn w:val="Normlntabulka"/>
    <w:uiPriority w:val="65"/>
    <w:rsid w:val="00AF53BB"/>
    <w:pPr>
      <w:spacing w:after="0" w:line="240" w:lineRule="auto"/>
    </w:pPr>
    <w:rPr>
      <w:rFonts w:eastAsiaTheme="minorHAnsi"/>
      <w:color w:val="000000" w:themeColor="text1"/>
      <w:lang w:eastAsia="en-US"/>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customStyle="1" w:styleId="Svtlstnovnzvraznn11">
    <w:name w:val="Světlé stínování – zvýraznění 11"/>
    <w:basedOn w:val="Normlntabulka"/>
    <w:next w:val="Svtlstnovnzvraznn1"/>
    <w:uiPriority w:val="60"/>
    <w:rsid w:val="00AF53BB"/>
    <w:pPr>
      <w:spacing w:after="0" w:line="240" w:lineRule="auto"/>
    </w:pPr>
    <w:rPr>
      <w:rFonts w:eastAsia="Calibri"/>
      <w:color w:val="365F91"/>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zvraznn1">
    <w:name w:val="Light Shading Accent 1"/>
    <w:basedOn w:val="Normlntabulka"/>
    <w:uiPriority w:val="60"/>
    <w:rsid w:val="00AF53B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dstn">
    <w:name w:val="_odst.n"/>
    <w:basedOn w:val="Normln"/>
    <w:rsid w:val="009C653E"/>
    <w:pPr>
      <w:tabs>
        <w:tab w:val="left" w:pos="567"/>
      </w:tabs>
      <w:spacing w:before="120" w:after="0" w:line="240" w:lineRule="auto"/>
      <w:ind w:firstLine="567"/>
      <w:jc w:val="both"/>
    </w:pPr>
    <w:rPr>
      <w:rFonts w:ascii="Times New Roman" w:eastAsia="Times New Roman" w:hAnsi="Times New Roman" w:cs="Times New Roman"/>
      <w:szCs w:val="20"/>
    </w:rPr>
  </w:style>
  <w:style w:type="paragraph" w:customStyle="1" w:styleId="Odstavec1">
    <w:name w:val="Odstavec_1"/>
    <w:basedOn w:val="Normln"/>
    <w:link w:val="Odstavec1Char1"/>
    <w:autoRedefine/>
    <w:rsid w:val="00A25F18"/>
    <w:pPr>
      <w:keepNext/>
      <w:autoSpaceDE w:val="0"/>
      <w:autoSpaceDN w:val="0"/>
      <w:adjustRightInd w:val="0"/>
      <w:spacing w:before="120" w:after="120" w:line="312" w:lineRule="auto"/>
      <w:jc w:val="both"/>
    </w:pPr>
    <w:rPr>
      <w:rFonts w:ascii="Arial" w:eastAsia="Times New Roman" w:hAnsi="Arial" w:cs="Times New Roman"/>
      <w:sz w:val="20"/>
      <w:szCs w:val="28"/>
      <w:lang w:eastAsia="x-none"/>
    </w:rPr>
  </w:style>
  <w:style w:type="character" w:customStyle="1" w:styleId="Odstavec1Char1">
    <w:name w:val="Odstavec_1 Char1"/>
    <w:link w:val="Odstavec1"/>
    <w:locked/>
    <w:rsid w:val="00A25F18"/>
    <w:rPr>
      <w:rFonts w:ascii="Arial" w:eastAsia="Times New Roman" w:hAnsi="Arial" w:cs="Times New Roman"/>
      <w:sz w:val="20"/>
      <w:szCs w:val="28"/>
      <w:lang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8099132">
      <w:bodyDiv w:val="1"/>
      <w:marLeft w:val="0"/>
      <w:marRight w:val="0"/>
      <w:marTop w:val="0"/>
      <w:marBottom w:val="0"/>
      <w:divBdr>
        <w:top w:val="none" w:sz="0" w:space="0" w:color="auto"/>
        <w:left w:val="none" w:sz="0" w:space="0" w:color="auto"/>
        <w:bottom w:val="none" w:sz="0" w:space="0" w:color="auto"/>
        <w:right w:val="none" w:sz="0" w:space="0" w:color="auto"/>
      </w:divBdr>
    </w:div>
    <w:div w:id="1835029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emf"/><Relationship Id="rId25" Type="http://schemas.openxmlformats.org/officeDocument/2006/relationships/image" Target="media/image17.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3.emf"/><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emf"/><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724305-510E-48F1-97A7-EBB064310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55</Pages>
  <Words>12804</Words>
  <Characters>75546</Characters>
  <Application>Microsoft Office Word</Application>
  <DocSecurity>0</DocSecurity>
  <Lines>629</Lines>
  <Paragraphs>176</Paragraphs>
  <ScaleCrop>false</ScaleCrop>
  <HeadingPairs>
    <vt:vector size="2" baseType="variant">
      <vt:variant>
        <vt:lpstr>Název</vt:lpstr>
      </vt:variant>
      <vt:variant>
        <vt:i4>1</vt:i4>
      </vt:variant>
    </vt:vector>
  </HeadingPairs>
  <TitlesOfParts>
    <vt:vector size="1" baseType="lpstr">
      <vt:lpstr>Studie „Koncepce přechodu na jednotnou napájecí soustavu ve vazbě na priority programového období 2014-2020 a naplnění požadavků TSI ENE“</vt:lpstr>
    </vt:vector>
  </TitlesOfParts>
  <Company/>
  <LinksUpToDate>false</LinksUpToDate>
  <CharactersWithSpaces>88174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Studie „Koncepce přechodu na jednotnou napájecí soustavu ve vazbě na priority programového období 2014-2020 a naplnění požadavků TSI ENE“</dc:title>
  <dc:creator>pg114194</dc:creator>
  <cp:lastModifiedBy>Peroutka Jaroslav Ing.</cp:lastModifiedBy>
  <cp:revision>81</cp:revision>
  <cp:lastPrinted>2016-07-22T11:32:00Z</cp:lastPrinted>
  <dcterms:created xsi:type="dcterms:W3CDTF">2016-06-22T08:32:00Z</dcterms:created>
  <dcterms:modified xsi:type="dcterms:W3CDTF">2016-07-22T11:33:00Z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W_WorkDir">
    <vt:lpwstr>d:\pw_data\jaroslav.peroutka\</vt:lpwstr>
  </property>
</Properties>
</file>