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26E47" w14:textId="77777777"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4E2DD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E2DD0" w:rsidRPr="004E2DD0">
        <w:rPr>
          <w:rFonts w:asciiTheme="majorHAnsi" w:eastAsia="Times New Roman" w:hAnsiTheme="majorHAnsi" w:cs="Times New Roman"/>
          <w:lang w:eastAsia="cs-CZ"/>
        </w:rPr>
        <w:t>2</w:t>
      </w:r>
      <w:r w:rsidR="00A756D0" w:rsidRPr="004E2DD0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FFD7D12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3AB40F3B" w14:textId="77777777" w:rsidR="00336BEC" w:rsidRPr="00346133" w:rsidRDefault="000E63D6" w:rsidP="000E63D6">
      <w:pPr>
        <w:keepNext/>
        <w:numPr>
          <w:ilvl w:val="0"/>
          <w:numId w:val="34"/>
        </w:numPr>
        <w:spacing w:before="240" w:after="0" w:line="240" w:lineRule="auto"/>
        <w:ind w:left="0" w:firstLine="0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A1CA4">
        <w:rPr>
          <w:rFonts w:asciiTheme="majorHAnsi" w:eastAsia="Times New Roman" w:hAnsiTheme="majorHAnsi" w:cs="Arial"/>
          <w:b/>
          <w:bCs/>
          <w:caps/>
          <w:kern w:val="32"/>
        </w:rPr>
        <w:t>cena paušálních služeb:</w:t>
      </w:r>
      <w:bookmarkStart w:id="0" w:name="_Toc517353605"/>
      <w:bookmarkStart w:id="1" w:name="_Toc518140497"/>
    </w:p>
    <w:p w14:paraId="28B90F4B" w14:textId="77777777"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tbl>
      <w:tblPr>
        <w:tblStyle w:val="Mkatabulky4"/>
        <w:tblW w:w="0" w:type="auto"/>
        <w:tblInd w:w="137" w:type="dxa"/>
        <w:tblLook w:val="04A0" w:firstRow="1" w:lastRow="0" w:firstColumn="1" w:lastColumn="0" w:noHBand="0" w:noVBand="1"/>
      </w:tblPr>
      <w:tblGrid>
        <w:gridCol w:w="2693"/>
        <w:gridCol w:w="1815"/>
        <w:gridCol w:w="1894"/>
        <w:gridCol w:w="2153"/>
      </w:tblGrid>
      <w:tr w:rsidR="000E63D6" w:rsidRPr="009A1CA4" w14:paraId="31D04D0F" w14:textId="77777777" w:rsidTr="00E44B8E">
        <w:tc>
          <w:tcPr>
            <w:tcW w:w="2693" w:type="dxa"/>
            <w:shd w:val="clear" w:color="auto" w:fill="BFBFBF"/>
          </w:tcPr>
          <w:p w14:paraId="5E8C8750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Specifikace Subskripce</w:t>
            </w:r>
          </w:p>
          <w:p w14:paraId="502FE473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815" w:type="dxa"/>
            <w:shd w:val="clear" w:color="auto" w:fill="BFBFBF"/>
          </w:tcPr>
          <w:p w14:paraId="585BE831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jedné Subskripce</w:t>
            </w:r>
          </w:p>
          <w:p w14:paraId="58E78687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894" w:type="dxa"/>
            <w:shd w:val="clear" w:color="auto" w:fill="BFBFBF"/>
          </w:tcPr>
          <w:p w14:paraId="4520C402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Počet Subskripcí/doba trvání Subskripce</w:t>
            </w:r>
          </w:p>
        </w:tc>
        <w:tc>
          <w:tcPr>
            <w:tcW w:w="2153" w:type="dxa"/>
            <w:shd w:val="clear" w:color="auto" w:fill="BFBFBF"/>
          </w:tcPr>
          <w:p w14:paraId="150C47D6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 počet Subskripcí</w:t>
            </w:r>
          </w:p>
          <w:p w14:paraId="132C9EAF" w14:textId="77777777" w:rsidR="000E63D6" w:rsidRPr="009A1CA4" w:rsidRDefault="000E63D6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F35EA6" w:rsidRPr="009A1CA4" w14:paraId="7F7A74D6" w14:textId="77777777" w:rsidTr="00E44B8E">
        <w:tc>
          <w:tcPr>
            <w:tcW w:w="2693" w:type="dxa"/>
          </w:tcPr>
          <w:p w14:paraId="38C8C574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UDS0040</w:t>
            </w:r>
          </w:p>
          <w:p w14:paraId="1F28F5BE" w14:textId="094BCBEF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G/Technology Administrator CC</w:t>
            </w:r>
          </w:p>
        </w:tc>
        <w:tc>
          <w:tcPr>
            <w:tcW w:w="1815" w:type="dxa"/>
          </w:tcPr>
          <w:p w14:paraId="016843D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7FEF2A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2AAF09CB" w14:textId="23491C51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1 / </w:t>
            </w:r>
            <w:r w:rsidR="00F35EA6"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2 měsíců</w:t>
            </w:r>
          </w:p>
        </w:tc>
        <w:tc>
          <w:tcPr>
            <w:tcW w:w="2153" w:type="dxa"/>
          </w:tcPr>
          <w:p w14:paraId="1817870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9A3E44E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22D1C513" w14:textId="77777777" w:rsidTr="00E44B8E">
        <w:tc>
          <w:tcPr>
            <w:tcW w:w="2693" w:type="dxa"/>
          </w:tcPr>
          <w:p w14:paraId="671902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/>
                <w:iCs/>
                <w:sz w:val="18"/>
                <w:szCs w:val="18"/>
              </w:rPr>
              <w:t>UCN6062</w:t>
            </w:r>
          </w:p>
          <w:p w14:paraId="17E13EDD" w14:textId="4580F1AA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Intergraph Networks Professional</w:t>
            </w:r>
          </w:p>
        </w:tc>
        <w:tc>
          <w:tcPr>
            <w:tcW w:w="1815" w:type="dxa"/>
          </w:tcPr>
          <w:p w14:paraId="3735675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A8A9D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7334753C" w14:textId="33FBB41E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3E8274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BF66A6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6F38619C" w14:textId="77777777" w:rsidTr="00E44B8E">
        <w:tc>
          <w:tcPr>
            <w:tcW w:w="2693" w:type="dxa"/>
          </w:tcPr>
          <w:p w14:paraId="3B1364B0" w14:textId="77777777" w:rsidR="00F35EA6" w:rsidRPr="000C382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0C3826">
              <w:rPr>
                <w:rFonts w:asciiTheme="majorHAnsi" w:hAnsiTheme="majorHAnsi" w:cs="Arial"/>
                <w:b/>
                <w:iCs/>
              </w:rPr>
              <w:t>UCN6069</w:t>
            </w:r>
          </w:p>
          <w:p w14:paraId="64822A6A" w14:textId="720A7A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0C3826">
              <w:rPr>
                <w:rFonts w:asciiTheme="majorHAnsi" w:hAnsiTheme="majorHAnsi" w:cs="Arial"/>
                <w:bCs/>
                <w:iCs/>
              </w:rPr>
              <w:t>Intergraph Networks WebMap Tile Service (WMTS)</w:t>
            </w:r>
          </w:p>
        </w:tc>
        <w:tc>
          <w:tcPr>
            <w:tcW w:w="1815" w:type="dxa"/>
          </w:tcPr>
          <w:p w14:paraId="70A20D68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3E93403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894" w:type="dxa"/>
          </w:tcPr>
          <w:p w14:paraId="747D19D9" w14:textId="72108717" w:rsidR="00F35EA6" w:rsidRPr="009A1CA4" w:rsidRDefault="00E44B8E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7E5593F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41A4791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F35EA6" w:rsidRPr="009A1CA4" w14:paraId="0B8D2EE6" w14:textId="77777777" w:rsidTr="00E44B8E">
        <w:tc>
          <w:tcPr>
            <w:tcW w:w="2693" w:type="dxa"/>
          </w:tcPr>
          <w:p w14:paraId="0ED8E543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CZESVCDR02</w:t>
            </w:r>
          </w:p>
          <w:p w14:paraId="61059901" w14:textId="31E00452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Intergraph Thin Client</w:t>
            </w:r>
          </w:p>
        </w:tc>
        <w:tc>
          <w:tcPr>
            <w:tcW w:w="1815" w:type="dxa"/>
          </w:tcPr>
          <w:p w14:paraId="2ECB949B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310BE9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  <w:tc>
          <w:tcPr>
            <w:tcW w:w="1894" w:type="dxa"/>
          </w:tcPr>
          <w:p w14:paraId="446CC794" w14:textId="5C116FAE" w:rsidR="00F35EA6" w:rsidRPr="00E44B8E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1C3143FF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90A4F33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</w:tc>
      </w:tr>
      <w:tr w:rsidR="00F35EA6" w:rsidRPr="009A1CA4" w14:paraId="438E0185" w14:textId="77777777" w:rsidTr="00E44B8E">
        <w:tc>
          <w:tcPr>
            <w:tcW w:w="2693" w:type="dxa"/>
          </w:tcPr>
          <w:p w14:paraId="7A12947A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THRDSW001</w:t>
            </w:r>
          </w:p>
          <w:p w14:paraId="7E94350D" w14:textId="35D71298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Server</w:t>
            </w:r>
          </w:p>
        </w:tc>
        <w:tc>
          <w:tcPr>
            <w:tcW w:w="1815" w:type="dxa"/>
          </w:tcPr>
          <w:p w14:paraId="094D187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6C43C3F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0147EE91" w14:textId="38DBC635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0D673614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F97F490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08E6FB18" w14:textId="77777777" w:rsidTr="00E44B8E">
        <w:tc>
          <w:tcPr>
            <w:tcW w:w="2693" w:type="dxa"/>
          </w:tcPr>
          <w:p w14:paraId="16F117E1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THRDSW003</w:t>
            </w:r>
          </w:p>
          <w:p w14:paraId="79590DED" w14:textId="3A2DD13B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FME Database edition</w:t>
            </w:r>
          </w:p>
        </w:tc>
        <w:tc>
          <w:tcPr>
            <w:tcW w:w="1815" w:type="dxa"/>
          </w:tcPr>
          <w:p w14:paraId="2373391D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68782FA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5C95C41" w14:textId="70814E75" w:rsidR="00F35EA6" w:rsidRPr="009A1CA4" w:rsidDel="009A62D2" w:rsidRDefault="003A7E5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 w:rsidR="00E44B8E"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2153" w:type="dxa"/>
          </w:tcPr>
          <w:p w14:paraId="2B44B3A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8E51F1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5F227985" w14:textId="77777777" w:rsidTr="00E44B8E">
        <w:tc>
          <w:tcPr>
            <w:tcW w:w="2693" w:type="dxa"/>
          </w:tcPr>
          <w:p w14:paraId="0AC08AA5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UDS0038</w:t>
            </w:r>
          </w:p>
          <w:p w14:paraId="282EF949" w14:textId="179396FD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G/Technology Designer CC</w:t>
            </w:r>
          </w:p>
        </w:tc>
        <w:tc>
          <w:tcPr>
            <w:tcW w:w="1815" w:type="dxa"/>
          </w:tcPr>
          <w:p w14:paraId="391E6CDE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2D1E22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78135066" w14:textId="2BABD26B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</w:t>
            </w:r>
            <w:r w:rsidR="003A7E56">
              <w:rPr>
                <w:rFonts w:asciiTheme="majorHAnsi" w:hAnsiTheme="majorHAnsi"/>
                <w:bCs/>
                <w:iCs/>
                <w:sz w:val="18"/>
                <w:szCs w:val="18"/>
              </w:rPr>
              <w:t>5</w:t>
            </w: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 xml:space="preserve"> / 12 měsíců</w:t>
            </w:r>
          </w:p>
        </w:tc>
        <w:tc>
          <w:tcPr>
            <w:tcW w:w="2153" w:type="dxa"/>
          </w:tcPr>
          <w:p w14:paraId="1CD8A1AC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80050A5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344E9C80" w14:textId="77777777" w:rsidTr="00E44B8E">
        <w:tc>
          <w:tcPr>
            <w:tcW w:w="2693" w:type="dxa"/>
          </w:tcPr>
          <w:p w14:paraId="1414207C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GSPY5028</w:t>
            </w:r>
          </w:p>
          <w:p w14:paraId="241645ED" w14:textId="632EEDD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Intergraph Geospatial SDI - ONE</w:t>
            </w:r>
          </w:p>
        </w:tc>
        <w:tc>
          <w:tcPr>
            <w:tcW w:w="1815" w:type="dxa"/>
          </w:tcPr>
          <w:p w14:paraId="0C765C8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05855996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7CA83B7" w14:textId="4B8BFC8C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69C304D2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F2BF47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51F8F549" w14:textId="77777777" w:rsidTr="00E44B8E">
        <w:tc>
          <w:tcPr>
            <w:tcW w:w="2693" w:type="dxa"/>
          </w:tcPr>
          <w:p w14:paraId="1A67452C" w14:textId="77777777" w:rsidR="00F35EA6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</w:rPr>
            </w:pPr>
            <w:r w:rsidRPr="00C977A3">
              <w:rPr>
                <w:rFonts w:asciiTheme="majorHAnsi" w:hAnsiTheme="majorHAnsi" w:cs="Arial"/>
                <w:b/>
                <w:iCs/>
              </w:rPr>
              <w:t>UDS0102</w:t>
            </w:r>
          </w:p>
          <w:p w14:paraId="1E08CB13" w14:textId="06D56A53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</w:rPr>
              <w:t>G/Technology NetPlot Server CC</w:t>
            </w:r>
          </w:p>
        </w:tc>
        <w:tc>
          <w:tcPr>
            <w:tcW w:w="1815" w:type="dxa"/>
          </w:tcPr>
          <w:p w14:paraId="5677389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5263664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4A578B7B" w14:textId="2CAD245F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4D62355E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1B8ED7C9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29467C2C" w14:textId="77777777" w:rsidTr="00E44B8E">
        <w:tc>
          <w:tcPr>
            <w:tcW w:w="2693" w:type="dxa"/>
          </w:tcPr>
          <w:p w14:paraId="445CB49D" w14:textId="77777777" w:rsidR="00F35EA6" w:rsidRPr="00C977A3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iCs/>
                <w:sz w:val="18"/>
                <w:szCs w:val="18"/>
              </w:rPr>
            </w:pPr>
            <w:r w:rsidRPr="00C977A3">
              <w:rPr>
                <w:rFonts w:asciiTheme="majorHAnsi" w:hAnsiTheme="majorHAnsi" w:cs="Arial"/>
                <w:b/>
                <w:iCs/>
                <w:sz w:val="18"/>
                <w:szCs w:val="18"/>
              </w:rPr>
              <w:lastRenderedPageBreak/>
              <w:t>SUDE232CA05100A</w:t>
            </w:r>
          </w:p>
          <w:p w14:paraId="7BC5E676" w14:textId="3389C94C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 w:rsidRPr="00C977A3">
              <w:rPr>
                <w:rFonts w:asciiTheme="majorHAnsi" w:hAnsiTheme="majorHAnsi" w:cs="Arial"/>
                <w:bCs/>
                <w:iCs/>
                <w:sz w:val="18"/>
                <w:szCs w:val="18"/>
              </w:rPr>
              <w:t>GINIUS-EngineeringPlotting for Designer (5 CC)</w:t>
            </w:r>
          </w:p>
        </w:tc>
        <w:tc>
          <w:tcPr>
            <w:tcW w:w="1815" w:type="dxa"/>
          </w:tcPr>
          <w:p w14:paraId="309690D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227392C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  <w:tc>
          <w:tcPr>
            <w:tcW w:w="1894" w:type="dxa"/>
          </w:tcPr>
          <w:p w14:paraId="65C93402" w14:textId="37BE49CA" w:rsidR="00F35EA6" w:rsidRPr="009A1CA4" w:rsidDel="009A62D2" w:rsidRDefault="00E44B8E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highlight w:val="yellow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 / 12 měsíců</w:t>
            </w:r>
          </w:p>
        </w:tc>
        <w:tc>
          <w:tcPr>
            <w:tcW w:w="2153" w:type="dxa"/>
          </w:tcPr>
          <w:p w14:paraId="5DB24F71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72DD27A3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highlight w:val="green"/>
              </w:rPr>
            </w:pPr>
          </w:p>
        </w:tc>
      </w:tr>
      <w:tr w:rsidR="00F35EA6" w:rsidRPr="009A1CA4" w14:paraId="13A00AEF" w14:textId="77777777" w:rsidTr="00E44B8E">
        <w:tc>
          <w:tcPr>
            <w:tcW w:w="6402" w:type="dxa"/>
            <w:gridSpan w:val="3"/>
            <w:shd w:val="clear" w:color="auto" w:fill="D9D9D9"/>
          </w:tcPr>
          <w:p w14:paraId="34E27554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153" w:type="dxa"/>
          </w:tcPr>
          <w:p w14:paraId="6EBBF1A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14:paraId="3B328137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14:paraId="1B93E40A" w14:textId="77777777" w:rsidR="00F35EA6" w:rsidRPr="009A1CA4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F35EA6" w:rsidRPr="009A1CA4" w14:paraId="1223397E" w14:textId="77777777" w:rsidTr="00E44B8E">
        <w:tc>
          <w:tcPr>
            <w:tcW w:w="6402" w:type="dxa"/>
            <w:gridSpan w:val="3"/>
            <w:shd w:val="clear" w:color="auto" w:fill="D9D9D9"/>
          </w:tcPr>
          <w:p w14:paraId="7DD0283F" w14:textId="77777777" w:rsidR="00F35EA6" w:rsidRPr="001C01C8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2153" w:type="dxa"/>
          </w:tcPr>
          <w:p w14:paraId="35A4E648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F35EA6" w:rsidRPr="009A1CA4" w14:paraId="22E8C1EF" w14:textId="77777777" w:rsidTr="00E44B8E">
        <w:tc>
          <w:tcPr>
            <w:tcW w:w="6402" w:type="dxa"/>
            <w:gridSpan w:val="3"/>
            <w:shd w:val="clear" w:color="auto" w:fill="D9D9D9"/>
          </w:tcPr>
          <w:p w14:paraId="6C614860" w14:textId="77777777" w:rsidR="00F35EA6" w:rsidRPr="009A1CA4" w:rsidRDefault="00F35EA6" w:rsidP="00F35EA6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subskripce v Kč bez DPH</w:t>
            </w:r>
          </w:p>
        </w:tc>
        <w:tc>
          <w:tcPr>
            <w:tcW w:w="2153" w:type="dxa"/>
          </w:tcPr>
          <w:p w14:paraId="6B226E27" w14:textId="77777777" w:rsidR="00F35EA6" w:rsidRPr="001C01C8" w:rsidRDefault="00F35EA6" w:rsidP="00F35EA6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14:paraId="5664B9BA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2" w:name="_Toc519257342"/>
      <w:bookmarkStart w:id="3" w:name="_Toc516591379"/>
      <w:bookmarkStart w:id="4" w:name="_Toc516604606"/>
      <w:bookmarkStart w:id="5" w:name="_Toc516647772"/>
      <w:bookmarkStart w:id="6" w:name="_Toc516670386"/>
      <w:bookmarkEnd w:id="0"/>
      <w:bookmarkEnd w:id="1"/>
      <w:bookmarkEnd w:id="2"/>
      <w:bookmarkEnd w:id="3"/>
      <w:bookmarkEnd w:id="4"/>
      <w:bookmarkEnd w:id="5"/>
      <w:bookmarkEnd w:id="6"/>
    </w:p>
    <w:p w14:paraId="7135EE7B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3D0AE3B0" w14:textId="77777777" w:rsidR="000E63D6" w:rsidRPr="004E2DD0" w:rsidRDefault="000E63D6" w:rsidP="004E2DD0">
      <w:pPr>
        <w:pStyle w:val="Odstavecseseznamem"/>
        <w:keepNext/>
        <w:numPr>
          <w:ilvl w:val="0"/>
          <w:numId w:val="34"/>
        </w:numPr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7" w:name="_Toc517632215"/>
      <w:bookmarkStart w:id="8" w:name="_Toc517978992"/>
      <w:bookmarkStart w:id="9" w:name="_Toc518251189"/>
      <w:bookmarkStart w:id="10" w:name="_Toc533063765"/>
      <w:r w:rsidRPr="004E2DD0">
        <w:rPr>
          <w:rFonts w:asciiTheme="majorHAnsi" w:eastAsia="Times New Roman" w:hAnsiTheme="majorHAnsi" w:cs="Arial"/>
          <w:b/>
          <w:bCs/>
          <w:caps/>
          <w:kern w:val="32"/>
        </w:rPr>
        <w:t>BLIŽŠÍ PODMÍNKY ZAPLACENÍ CENY</w:t>
      </w:r>
      <w:bookmarkEnd w:id="7"/>
      <w:bookmarkEnd w:id="8"/>
      <w:bookmarkEnd w:id="9"/>
      <w:bookmarkEnd w:id="10"/>
    </w:p>
    <w:p w14:paraId="65CDAC47" w14:textId="77777777"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highlight w:val="yellow"/>
        </w:rPr>
      </w:pPr>
    </w:p>
    <w:p w14:paraId="1E571BBA" w14:textId="77777777" w:rsidR="004E2DD0" w:rsidRPr="004E2DD0" w:rsidRDefault="004E2DD0" w:rsidP="004E2DD0">
      <w:pPr>
        <w:keepNext/>
        <w:spacing w:before="240" w:after="0" w:line="240" w:lineRule="auto"/>
        <w:outlineLvl w:val="0"/>
      </w:pPr>
    </w:p>
    <w:p w14:paraId="0ECF72AF" w14:textId="77777777" w:rsidR="009F392E" w:rsidRPr="004E2DD0" w:rsidRDefault="004E2DD0" w:rsidP="004E2DD0">
      <w:pPr>
        <w:keepNext/>
        <w:spacing w:after="0" w:line="240" w:lineRule="auto"/>
        <w:outlineLvl w:val="0"/>
      </w:pPr>
      <w:r w:rsidRPr="004E2DD0">
        <w:rPr>
          <w:rFonts w:asciiTheme="majorHAnsi" w:eastAsia="Times New Roman" w:hAnsiTheme="majorHAnsi" w:cs="Times New Roman"/>
        </w:rPr>
        <w:t>1. sp</w:t>
      </w:r>
      <w:r>
        <w:rPr>
          <w:rFonts w:asciiTheme="majorHAnsi" w:eastAsia="Times New Roman" w:hAnsiTheme="majorHAnsi" w:cs="Times New Roman"/>
        </w:rPr>
        <w:t>l</w:t>
      </w:r>
      <w:r w:rsidRPr="004E2DD0">
        <w:rPr>
          <w:rFonts w:asciiTheme="majorHAnsi" w:eastAsia="Times New Roman" w:hAnsiTheme="majorHAnsi" w:cs="Times New Roman"/>
        </w:rPr>
        <w:t xml:space="preserve">átka do 30 dnů od uveřejnění smlouvy v registru </w:t>
      </w:r>
      <w:r>
        <w:rPr>
          <w:rFonts w:asciiTheme="majorHAnsi" w:eastAsia="Times New Roman" w:hAnsiTheme="majorHAnsi" w:cs="Times New Roman"/>
        </w:rPr>
        <w:t>smluv</w:t>
      </w:r>
    </w:p>
    <w:p w14:paraId="476F5B52" w14:textId="77777777" w:rsidR="004E2DD0" w:rsidRDefault="004E2DD0" w:rsidP="004E2DD0">
      <w:pPr>
        <w:pStyle w:val="Odstavecseseznamem"/>
        <w:keepNext/>
        <w:numPr>
          <w:ilvl w:val="0"/>
          <w:numId w:val="36"/>
        </w:numPr>
        <w:spacing w:after="0" w:line="240" w:lineRule="auto"/>
        <w:ind w:left="284" w:hanging="284"/>
        <w:outlineLvl w:val="0"/>
      </w:pPr>
      <w:r>
        <w:t>splátka tři měsíce od uveřejnění smlouvy v registru smluv</w:t>
      </w:r>
    </w:p>
    <w:p w14:paraId="160F3807" w14:textId="77777777" w:rsidR="004E2DD0" w:rsidRDefault="004E2DD0" w:rsidP="004E2DD0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>splátka šest měsíců od uveřejnění smlouvy v registru smluv</w:t>
      </w:r>
    </w:p>
    <w:p w14:paraId="60E512D9" w14:textId="77777777" w:rsidR="004E2DD0" w:rsidRPr="00F0533E" w:rsidRDefault="004E2DD0" w:rsidP="004E2DD0">
      <w:pPr>
        <w:pStyle w:val="Odstavecseseznamem"/>
        <w:keepNext/>
        <w:numPr>
          <w:ilvl w:val="0"/>
          <w:numId w:val="36"/>
        </w:numPr>
        <w:spacing w:before="240" w:after="0" w:line="240" w:lineRule="auto"/>
        <w:ind w:left="284" w:hanging="284"/>
        <w:outlineLvl w:val="0"/>
      </w:pPr>
      <w:r>
        <w:t>splátka devět měsíců od uveřejnění smlouvy v registru smluv</w:t>
      </w:r>
    </w:p>
    <w:sectPr w:rsidR="004E2DD0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08AC9" w14:textId="77777777" w:rsidR="00B67A4A" w:rsidRDefault="00B67A4A" w:rsidP="00962258">
      <w:pPr>
        <w:spacing w:after="0" w:line="240" w:lineRule="auto"/>
      </w:pPr>
      <w:r>
        <w:separator/>
      </w:r>
    </w:p>
  </w:endnote>
  <w:endnote w:type="continuationSeparator" w:id="0">
    <w:p w14:paraId="7B0F5050" w14:textId="77777777" w:rsidR="00B67A4A" w:rsidRDefault="00B67A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69D56E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83CE32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E4090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13BC0B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CFE88" w14:textId="77777777" w:rsidR="00F1715C" w:rsidRDefault="00F1715C" w:rsidP="00D831A3">
          <w:pPr>
            <w:pStyle w:val="Zpat"/>
          </w:pPr>
        </w:p>
      </w:tc>
    </w:tr>
  </w:tbl>
  <w:p w14:paraId="3D1C08A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906F435" wp14:editId="3AD360B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A31D638" wp14:editId="44F413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C39098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3BE26BB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DD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E0C18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96E347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DF5E78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B38060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F4AF0C2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9033C9B" w14:textId="77777777" w:rsidR="00F1715C" w:rsidRDefault="00F1715C" w:rsidP="00460660">
          <w:pPr>
            <w:pStyle w:val="Zpat"/>
          </w:pPr>
        </w:p>
      </w:tc>
    </w:tr>
  </w:tbl>
  <w:p w14:paraId="032E9C2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64D402F" wp14:editId="3CA444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4D4C0E2" wp14:editId="70F85D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E29CC3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8EF4C2" w14:textId="77777777" w:rsidR="00B67A4A" w:rsidRDefault="00B67A4A" w:rsidP="00962258">
      <w:pPr>
        <w:spacing w:after="0" w:line="240" w:lineRule="auto"/>
      </w:pPr>
      <w:r>
        <w:separator/>
      </w:r>
    </w:p>
  </w:footnote>
  <w:footnote w:type="continuationSeparator" w:id="0">
    <w:p w14:paraId="0986D312" w14:textId="77777777" w:rsidR="00B67A4A" w:rsidRDefault="00B67A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C25A7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2F6EA5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87E67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A1302F" w14:textId="77777777" w:rsidR="00F1715C" w:rsidRPr="00D6163D" w:rsidRDefault="00F1715C" w:rsidP="00D6163D">
          <w:pPr>
            <w:pStyle w:val="Druhdokumentu"/>
          </w:pPr>
        </w:p>
      </w:tc>
    </w:tr>
  </w:tbl>
  <w:p w14:paraId="16151D1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6D2A0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7B9F74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4FD8B9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63A1610" w14:textId="77777777" w:rsidR="00F1715C" w:rsidRPr="00D6163D" w:rsidRDefault="00F1715C" w:rsidP="00FC6389">
          <w:pPr>
            <w:pStyle w:val="Druhdokumentu"/>
          </w:pPr>
        </w:p>
      </w:tc>
    </w:tr>
    <w:tr w:rsidR="009F392E" w14:paraId="32184A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FF1E33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A6E0A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04D2CF" w14:textId="77777777" w:rsidR="009F392E" w:rsidRPr="00D6163D" w:rsidRDefault="009F392E" w:rsidP="00FC6389">
          <w:pPr>
            <w:pStyle w:val="Druhdokumentu"/>
          </w:pPr>
        </w:p>
      </w:tc>
    </w:tr>
  </w:tbl>
  <w:p w14:paraId="68E49D2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2A50023" wp14:editId="6F0322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6E250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E923704"/>
    <w:multiLevelType w:val="hybridMultilevel"/>
    <w:tmpl w:val="44ACDD72"/>
    <w:lvl w:ilvl="0" w:tplc="1CC4F2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11"/>
    <w:lvlOverride w:ilvl="0"/>
  </w:num>
  <w:num w:numId="3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A7E5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DD0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0E64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62D2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67A4A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2DC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4B8E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35EA6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913C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EBDDC-2F2C-4A1B-9E10-528DE11BFC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32</TotalTime>
  <Pages>2</Pages>
  <Words>245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Josef Skácel</cp:lastModifiedBy>
  <cp:revision>16</cp:revision>
  <cp:lastPrinted>2017-11-28T17:18:00Z</cp:lastPrinted>
  <dcterms:created xsi:type="dcterms:W3CDTF">2020-02-20T08:52:00Z</dcterms:created>
  <dcterms:modified xsi:type="dcterms:W3CDTF">2021-01-15T14:13:00Z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