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649CBE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93EA4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2BD957E5" w14:textId="016BBB32" w:rsidR="00AC64B7" w:rsidRDefault="00AC64B7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 5003540011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C27FC6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</w:t>
      </w:r>
      <w:r w:rsidRPr="00C27FC6">
        <w:rPr>
          <w:rFonts w:eastAsia="Times New Roman" w:cs="Times New Roman"/>
          <w:lang w:eastAsia="cs-CZ"/>
        </w:rPr>
        <w:t>/7, PSČ 110 00</w:t>
      </w:r>
    </w:p>
    <w:p w14:paraId="482B2557" w14:textId="77777777" w:rsidR="004E1498" w:rsidRPr="00C27FC6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27FC6">
        <w:rPr>
          <w:rFonts w:eastAsia="Times New Roman" w:cs="Times New Roman"/>
          <w:lang w:eastAsia="cs-CZ"/>
        </w:rPr>
        <w:tab/>
      </w:r>
      <w:r w:rsidRPr="00C27FC6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C0CF5D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27FC6">
        <w:rPr>
          <w:rFonts w:eastAsia="Times New Roman" w:cs="Times New Roman"/>
          <w:lang w:eastAsia="cs-CZ"/>
        </w:rPr>
        <w:tab/>
      </w:r>
      <w:r w:rsidRPr="00C27FC6">
        <w:rPr>
          <w:rFonts w:eastAsia="Times New Roman" w:cs="Times New Roman"/>
          <w:lang w:eastAsia="cs-CZ"/>
        </w:rPr>
        <w:tab/>
        <w:t xml:space="preserve">zastoupená </w:t>
      </w:r>
      <w:r w:rsidR="00C27FC6" w:rsidRPr="00C27FC6">
        <w:rPr>
          <w:rFonts w:eastAsia="Times New Roman" w:cs="Times New Roman"/>
          <w:b/>
          <w:lang w:eastAsia="cs-CZ"/>
        </w:rPr>
        <w:t>Bc. Jiřím Svobodou, MBA</w:t>
      </w:r>
      <w:r w:rsidR="00C27FC6" w:rsidRPr="00C27FC6">
        <w:rPr>
          <w:rFonts w:eastAsia="Times New Roman" w:cs="Times New Roman"/>
          <w:lang w:eastAsia="cs-CZ"/>
        </w:rPr>
        <w:t>, generálním</w:t>
      </w:r>
      <w:r w:rsidR="00C27FC6">
        <w:rPr>
          <w:rFonts w:eastAsia="Times New Roman" w:cs="Times New Roman"/>
          <w:lang w:eastAsia="cs-CZ"/>
        </w:rPr>
        <w:t xml:space="preserve"> ředitelem</w:t>
      </w:r>
    </w:p>
    <w:p w14:paraId="12223576" w14:textId="32FAA274" w:rsidR="004E1498" w:rsidRPr="004E1498" w:rsidRDefault="004E1498" w:rsidP="00AC64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83AF9BC" w14:textId="54371348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BADF69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C27FC6">
        <w:rPr>
          <w:rFonts w:eastAsia="Times New Roman" w:cs="Times New Roman"/>
          <w:lang w:eastAsia="cs-CZ"/>
        </w:rPr>
        <w:t>„</w:t>
      </w:r>
      <w:r w:rsidR="00C27FC6" w:rsidRPr="00C27FC6">
        <w:rPr>
          <w:rFonts w:eastAsia="Times New Roman" w:cs="Times New Roman"/>
          <w:b/>
          <w:lang w:eastAsia="cs-CZ"/>
        </w:rPr>
        <w:t xml:space="preserve">Podpora technické specifikace zadávací dokumentace pro </w:t>
      </w:r>
      <w:r w:rsidR="00C27FC6" w:rsidRPr="00AC64B7">
        <w:rPr>
          <w:rFonts w:eastAsia="Times New Roman" w:cs="Times New Roman"/>
          <w:b/>
          <w:lang w:eastAsia="cs-CZ"/>
        </w:rPr>
        <w:t>výběr společného datového prostředí (CDE) s ohledem na potřeby SŽ</w:t>
      </w:r>
      <w:r w:rsidRPr="00AC64B7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AC64B7">
        <w:rPr>
          <w:rFonts w:eastAsia="Times New Roman" w:cs="Times New Roman"/>
          <w:lang w:eastAsia="cs-CZ"/>
        </w:rPr>
        <w:t>č.j.</w:t>
      </w:r>
      <w:proofErr w:type="gramEnd"/>
      <w:r w:rsidR="000D278B" w:rsidRPr="00AC64B7">
        <w:rPr>
          <w:rFonts w:eastAsia="Times New Roman" w:cs="Times New Roman"/>
          <w:lang w:eastAsia="cs-CZ"/>
        </w:rPr>
        <w:t xml:space="preserve"> veřejné zakázky </w:t>
      </w:r>
      <w:r w:rsidR="00AC64B7" w:rsidRPr="00AC64B7">
        <w:rPr>
          <w:rFonts w:eastAsia="Times New Roman" w:cs="Times New Roman"/>
          <w:lang w:eastAsia="cs-CZ"/>
        </w:rPr>
        <w:t>84014</w:t>
      </w:r>
      <w:r w:rsidR="00C27FC6" w:rsidRPr="00AC64B7">
        <w:rPr>
          <w:rFonts w:eastAsia="Times New Roman" w:cs="Times New Roman"/>
          <w:lang w:eastAsia="cs-CZ"/>
        </w:rPr>
        <w:t>/2020-SŽ-GŘ-O8</w:t>
      </w:r>
      <w:r w:rsidR="005740C3" w:rsidRPr="00AC64B7">
        <w:rPr>
          <w:rFonts w:eastAsia="Times New Roman" w:cs="Times New Roman"/>
          <w:lang w:eastAsia="cs-CZ"/>
        </w:rPr>
        <w:t xml:space="preserve"> </w:t>
      </w:r>
      <w:r w:rsidRPr="00AC64B7">
        <w:rPr>
          <w:rFonts w:eastAsia="Times New Roman" w:cs="Times New Roman"/>
          <w:lang w:eastAsia="cs-CZ"/>
        </w:rPr>
        <w:t>(dále jen „veřejná zakázka</w:t>
      </w:r>
      <w:r w:rsidR="006566F7" w:rsidRPr="00AC64B7">
        <w:rPr>
          <w:rFonts w:eastAsia="Times New Roman" w:cs="Times New Roman"/>
          <w:lang w:eastAsia="cs-CZ"/>
        </w:rPr>
        <w:t>“). Jednotlivá ustanovení této S</w:t>
      </w:r>
      <w:r w:rsidRPr="00AC64B7">
        <w:rPr>
          <w:rFonts w:eastAsia="Times New Roman" w:cs="Times New Roman"/>
          <w:lang w:eastAsia="cs-CZ"/>
        </w:rPr>
        <w:t>mlouvy</w:t>
      </w:r>
      <w:r w:rsidRPr="004E1498">
        <w:rPr>
          <w:rFonts w:eastAsia="Times New Roman" w:cs="Times New Roman"/>
          <w:lang w:eastAsia="cs-CZ"/>
        </w:rPr>
        <w:t xml:space="preserve">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E375570" w14:textId="77777777" w:rsidR="00C27FC6" w:rsidRDefault="004E1498" w:rsidP="000858B7">
      <w:pPr>
        <w:pStyle w:val="Nadpis2"/>
        <w:overflowPunct/>
        <w:autoSpaceDE/>
        <w:autoSpaceDN/>
        <w:adjustRightInd/>
        <w:spacing w:before="120"/>
        <w:contextualSpacing w:val="0"/>
        <w:jc w:val="left"/>
        <w:textAlignment w:val="auto"/>
      </w:pPr>
      <w:r w:rsidRPr="004E1498">
        <w:t xml:space="preserve">Předmětem díla je </w:t>
      </w:r>
      <w:r w:rsidR="00C27FC6">
        <w:t>vytvoření požadavků na výběr společného datového prostředí (CDE) pro:</w:t>
      </w:r>
    </w:p>
    <w:p w14:paraId="6BD58CD1" w14:textId="77777777" w:rsidR="00C27FC6" w:rsidRPr="001D129F" w:rsidRDefault="00C27FC6" w:rsidP="00C27FC6">
      <w:pPr>
        <w:pStyle w:val="Odstavecseseznamem"/>
        <w:numPr>
          <w:ilvl w:val="0"/>
          <w:numId w:val="28"/>
        </w:numPr>
        <w:spacing w:after="200" w:line="276" w:lineRule="auto"/>
        <w:rPr>
          <w:color w:val="000000" w:themeColor="text1"/>
        </w:rPr>
      </w:pPr>
      <w:r w:rsidRPr="001D129F">
        <w:rPr>
          <w:color w:val="000000" w:themeColor="text1"/>
        </w:rPr>
        <w:t>Ukládání, sdílení a řízení toku všech společných informací o stavebních procesech v rámci SŽ,</w:t>
      </w:r>
    </w:p>
    <w:p w14:paraId="7A8813AD" w14:textId="57C9E409" w:rsidR="00C27FC6" w:rsidRPr="00816953" w:rsidRDefault="00C27FC6" w:rsidP="00C27FC6">
      <w:pPr>
        <w:pStyle w:val="Odstavecseseznamem"/>
        <w:numPr>
          <w:ilvl w:val="0"/>
          <w:numId w:val="28"/>
        </w:numPr>
        <w:spacing w:after="200" w:line="276" w:lineRule="auto"/>
      </w:pPr>
      <w:r>
        <w:t xml:space="preserve">optimální přenos dat pomocí CDE z informačního modelu </w:t>
      </w:r>
      <w:proofErr w:type="spellStart"/>
      <w:r w:rsidR="002C4D44">
        <w:t>Building</w:t>
      </w:r>
      <w:proofErr w:type="spellEnd"/>
      <w:r w:rsidR="002C4D44">
        <w:t xml:space="preserve"> </w:t>
      </w:r>
      <w:proofErr w:type="spellStart"/>
      <w:r w:rsidR="002C4D44">
        <w:t>Information</w:t>
      </w:r>
      <w:proofErr w:type="spellEnd"/>
      <w:r w:rsidR="002C4D44">
        <w:t xml:space="preserve"> Management/informační modelování staveb (</w:t>
      </w:r>
      <w:r>
        <w:t>BIM</w:t>
      </w:r>
      <w:r w:rsidR="002C4D44">
        <w:t>)</w:t>
      </w:r>
      <w:r>
        <w:t xml:space="preserve"> do stávajících informačních systémů Objednatele pro přípravu a </w:t>
      </w:r>
      <w:r w:rsidRPr="00816953">
        <w:t>realizaci staveb,</w:t>
      </w:r>
    </w:p>
    <w:p w14:paraId="03F039C6" w14:textId="0BA1CA82" w:rsidR="004E1498" w:rsidRPr="00816953" w:rsidRDefault="00C27FC6" w:rsidP="00C27FC6">
      <w:pPr>
        <w:pStyle w:val="Odstavecseseznamem"/>
        <w:numPr>
          <w:ilvl w:val="0"/>
          <w:numId w:val="28"/>
        </w:numPr>
        <w:spacing w:after="0" w:line="276" w:lineRule="auto"/>
      </w:pPr>
      <w:r w:rsidRPr="00816953">
        <w:t>využití CDE pro přenos dat z informačního modelu BIM do stávajících informačních systémů Objednatele pro správu a údržbu staveb Objednatele.</w:t>
      </w:r>
    </w:p>
    <w:p w14:paraId="31E5226B" w14:textId="061B4EF9" w:rsidR="004E1498" w:rsidRPr="00816953" w:rsidRDefault="004E1498" w:rsidP="00592757">
      <w:pPr>
        <w:pStyle w:val="Nadpis2"/>
        <w:jc w:val="left"/>
      </w:pPr>
      <w:r w:rsidRPr="00816953">
        <w:t>Předmět díla je blíže specifikován v přílo</w:t>
      </w:r>
      <w:r w:rsidR="00CB53B1" w:rsidRPr="00816953">
        <w:t>ze</w:t>
      </w:r>
      <w:r w:rsidRPr="00816953">
        <w:t xml:space="preserve"> </w:t>
      </w:r>
      <w:r w:rsidR="0086114C" w:rsidRPr="00816953">
        <w:t>č</w:t>
      </w:r>
      <w:r w:rsidR="00C27FC6" w:rsidRPr="00816953">
        <w:t xml:space="preserve">. 1 této </w:t>
      </w:r>
      <w:r w:rsidR="006566F7" w:rsidRPr="00816953">
        <w:t>S</w:t>
      </w:r>
      <w:r w:rsidRPr="00816953">
        <w:t>mlouvy.</w:t>
      </w:r>
    </w:p>
    <w:p w14:paraId="620E778C" w14:textId="1F1354BE" w:rsidR="004E1498" w:rsidRPr="00816953" w:rsidRDefault="004E1498" w:rsidP="00275474">
      <w:pPr>
        <w:pStyle w:val="Nadpis2"/>
        <w:jc w:val="left"/>
      </w:pPr>
      <w:r w:rsidRPr="00816953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6BB31516" w:rsidR="00810E9B" w:rsidRDefault="00C27FC6" w:rsidP="00C27FC6">
      <w:pPr>
        <w:pStyle w:val="Nadpis2"/>
        <w:jc w:val="left"/>
      </w:pPr>
      <w:r w:rsidRPr="00816953">
        <w:t xml:space="preserve">Dílčí ceny předmětu díla jsou uvedeny v příloze č. 2 </w:t>
      </w:r>
      <w:proofErr w:type="gramStart"/>
      <w:r w:rsidRPr="00816953">
        <w:t>této</w:t>
      </w:r>
      <w:proofErr w:type="gramEnd"/>
      <w:r w:rsidRPr="00816953">
        <w:t xml:space="preserve"> Smlouvy. </w:t>
      </w:r>
    </w:p>
    <w:p w14:paraId="2E78095A" w14:textId="4F1FD71E" w:rsidR="00C47C3C" w:rsidRPr="00C47C3C" w:rsidRDefault="002D0870" w:rsidP="00C47C3C">
      <w:pPr>
        <w:pStyle w:val="Nadpis2"/>
        <w:jc w:val="left"/>
      </w:pPr>
      <w:r w:rsidRPr="00816953">
        <w:t>Fakturace bude provedena na základě akceptačního protokolu podepsaného oběma Smluvními stranami a současně po předání</w:t>
      </w:r>
      <w:r>
        <w:t xml:space="preserve"> kompletního díla v souladu s čl. 3.2 Přílohy č. 1 této Smlouvy. </w:t>
      </w:r>
      <w:r w:rsidR="00C47C3C">
        <w:t>Splatnost faktury se sjednává na 60 dnů po dni jejího doručení Objednatali.</w:t>
      </w:r>
      <w:bookmarkStart w:id="0" w:name="_GoBack"/>
      <w:bookmarkEnd w:id="0"/>
    </w:p>
    <w:p w14:paraId="1AFBED57" w14:textId="77777777" w:rsidR="004E1498" w:rsidRPr="00C27FC6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doba </w:t>
      </w:r>
      <w:r w:rsidRPr="00C27FC6">
        <w:rPr>
          <w:rFonts w:eastAsia="Times New Roman"/>
          <w:lang w:eastAsia="cs-CZ"/>
        </w:rPr>
        <w:t>plnění</w:t>
      </w:r>
    </w:p>
    <w:p w14:paraId="4DCCF507" w14:textId="76F77AC3" w:rsidR="004E1498" w:rsidRPr="00C27FC6" w:rsidRDefault="004E1498" w:rsidP="00592757">
      <w:pPr>
        <w:pStyle w:val="Nadpis2"/>
        <w:jc w:val="left"/>
      </w:pPr>
      <w:r w:rsidRPr="00C27FC6">
        <w:t>Místem plnění je</w:t>
      </w:r>
      <w:r w:rsidR="00C27FC6" w:rsidRPr="00C27FC6">
        <w:t xml:space="preserve"> Správa železnic, státní organizace, Dlážděná 1003/7, Praha 1 – Nové Město, PSČ 110 00.</w:t>
      </w:r>
    </w:p>
    <w:p w14:paraId="773EB070" w14:textId="5315F132" w:rsidR="00CB53B1" w:rsidRPr="00275474" w:rsidRDefault="00CB53B1" w:rsidP="00CB53B1">
      <w:pPr>
        <w:pStyle w:val="Nadpis2"/>
        <w:jc w:val="left"/>
      </w:pPr>
      <w:r w:rsidRPr="00275474">
        <w:t xml:space="preserve">Smlouva se uzavírá </w:t>
      </w:r>
      <w:r w:rsidRPr="00C27FC6">
        <w:t xml:space="preserve">na dobu určitou do </w:t>
      </w:r>
      <w:r w:rsidR="00C27FC6" w:rsidRPr="00C27FC6">
        <w:t>5 měsíců od účinnosti</w:t>
      </w:r>
      <w:r w:rsidR="00C27FC6">
        <w:t xml:space="preserve"> této Smlouvy.</w:t>
      </w:r>
    </w:p>
    <w:p w14:paraId="624D8729" w14:textId="03C795E4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C27FC6">
        <w:t>4 měsíců od účinnosti této Smlouvy.</w:t>
      </w:r>
    </w:p>
    <w:p w14:paraId="757582CE" w14:textId="052D6279" w:rsidR="004E1498" w:rsidRPr="00C27FC6" w:rsidRDefault="004E1498" w:rsidP="00C27FC6">
      <w:pPr>
        <w:pStyle w:val="Nadpis2"/>
        <w:jc w:val="left"/>
      </w:pPr>
      <w:r w:rsidRPr="00C27FC6">
        <w:t xml:space="preserve">Zhotovitel je povinen </w:t>
      </w:r>
      <w:r w:rsidR="00FC06FA">
        <w:t>předat</w:t>
      </w:r>
      <w:r w:rsidR="00C27FC6" w:rsidRPr="00C27FC6">
        <w:t xml:space="preserve"> dílčí části před</w:t>
      </w:r>
      <w:r w:rsidR="00FC06FA">
        <w:t>mětu díla v souladu s Harmonogra</w:t>
      </w:r>
      <w:r w:rsidR="00C27FC6" w:rsidRPr="00C27FC6">
        <w:t xml:space="preserve">mem, který je přílohou č. 3 </w:t>
      </w:r>
      <w:proofErr w:type="gramStart"/>
      <w:r w:rsidR="00C27FC6" w:rsidRPr="00C27FC6">
        <w:t>této</w:t>
      </w:r>
      <w:proofErr w:type="gramEnd"/>
      <w:r w:rsidR="00C27FC6" w:rsidRPr="00C27FC6">
        <w:t xml:space="preserve"> Smlouvy.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40B8353A" w:rsidR="00FD17C6" w:rsidRPr="004E1498" w:rsidRDefault="00A02EE7" w:rsidP="00471590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0858B7" w:rsidRDefault="004E1498" w:rsidP="00592757">
      <w:pPr>
        <w:pStyle w:val="Nadpis2"/>
        <w:jc w:val="left"/>
      </w:pPr>
      <w:r w:rsidRPr="004E1498">
        <w:t xml:space="preserve">Zhotovitel prohlašuje, že je způsobilý k řádnému a včasnému provedení Díla a že disponuje takovými kapacitami a </w:t>
      </w:r>
      <w:r w:rsidRPr="000858B7">
        <w:t>odbornými znalostmi, které jsou třeba k řádnému provedení Díla.</w:t>
      </w:r>
    </w:p>
    <w:p w14:paraId="7EDF1044" w14:textId="77777777" w:rsidR="004E1498" w:rsidRPr="000858B7" w:rsidRDefault="004E1498" w:rsidP="00592757">
      <w:pPr>
        <w:pStyle w:val="Nadpis2"/>
        <w:jc w:val="left"/>
      </w:pPr>
      <w:r w:rsidRPr="000858B7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858B7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</w:t>
      </w:r>
      <w:r w:rsidRPr="000858B7">
        <w:t>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858B7">
        <w:rPr>
          <w:rFonts w:eastAsia="Calibri"/>
        </w:rPr>
        <w:t xml:space="preserve">Tato </w:t>
      </w:r>
      <w:r w:rsidR="00D9782E" w:rsidRPr="000858B7">
        <w:rPr>
          <w:rFonts w:eastAsia="Calibri"/>
        </w:rPr>
        <w:t>Sml</w:t>
      </w:r>
      <w:r w:rsidRPr="000858B7">
        <w:rPr>
          <w:rFonts w:eastAsia="Calibri"/>
        </w:rPr>
        <w:t xml:space="preserve">ouva nabývá platnosti okamžikem podpisu poslední ze </w:t>
      </w:r>
      <w:r w:rsidR="00D9782E" w:rsidRPr="000858B7">
        <w:rPr>
          <w:rFonts w:eastAsia="Calibri"/>
        </w:rPr>
        <w:t>Sml</w:t>
      </w:r>
      <w:r w:rsidRPr="000858B7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CF92DE8" w14:textId="77777777" w:rsidR="00AC64B7" w:rsidRDefault="00AC64B7" w:rsidP="00AC64B7">
      <w:pPr>
        <w:rPr>
          <w:lang w:eastAsia="cs-CZ"/>
        </w:rPr>
      </w:pPr>
    </w:p>
    <w:p w14:paraId="5FEB9482" w14:textId="77777777" w:rsidR="00AC64B7" w:rsidRPr="00AC64B7" w:rsidRDefault="00AC64B7" w:rsidP="00AC64B7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FC06FA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C06FA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EBB6E73" w:rsidR="006E6E61" w:rsidRDefault="00FC06FA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06FA">
        <w:rPr>
          <w:rFonts w:eastAsia="Times New Roman" w:cs="Times New Roman"/>
          <w:lang w:eastAsia="cs-CZ"/>
        </w:rPr>
        <w:t>Bližší specifikace předmětu díla</w:t>
      </w:r>
    </w:p>
    <w:p w14:paraId="006CBB1A" w14:textId="6597C03C" w:rsidR="006E6E61" w:rsidRPr="00FC06FA" w:rsidRDefault="004429CF" w:rsidP="00FC06F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06FA">
        <w:rPr>
          <w:rFonts w:eastAsia="Times New Roman" w:cs="Times New Roman"/>
          <w:lang w:eastAsia="cs-CZ"/>
        </w:rPr>
        <w:t>O</w:t>
      </w:r>
      <w:r w:rsidR="006E6E61" w:rsidRPr="00FC06FA">
        <w:rPr>
          <w:rFonts w:eastAsia="Times New Roman" w:cs="Times New Roman"/>
          <w:lang w:eastAsia="cs-CZ"/>
        </w:rPr>
        <w:t>ceněný položkový rozpočet</w:t>
      </w:r>
      <w:r w:rsidR="00FC06FA" w:rsidRPr="00FC06FA">
        <w:rPr>
          <w:rFonts w:eastAsia="Times New Roman" w:cs="Times New Roman"/>
          <w:lang w:eastAsia="cs-CZ"/>
        </w:rPr>
        <w:t xml:space="preserve"> </w:t>
      </w:r>
      <w:r w:rsidR="00FC06FA" w:rsidRPr="00471590">
        <w:rPr>
          <w:rFonts w:eastAsia="Times New Roman" w:cs="Times New Roman"/>
          <w:highlight w:val="green"/>
          <w:lang w:eastAsia="cs-CZ"/>
        </w:rPr>
        <w:t>– doplní Zhotovitel</w:t>
      </w:r>
    </w:p>
    <w:p w14:paraId="665289CB" w14:textId="001D582D" w:rsidR="006E6E61" w:rsidRPr="00FC06FA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06FA">
        <w:rPr>
          <w:rFonts w:eastAsia="Times New Roman" w:cs="Times New Roman"/>
          <w:lang w:eastAsia="cs-CZ"/>
        </w:rPr>
        <w:t>H</w:t>
      </w:r>
      <w:r w:rsidR="006E6E61" w:rsidRPr="00FC06FA">
        <w:rPr>
          <w:rFonts w:eastAsia="Times New Roman" w:cs="Times New Roman"/>
          <w:lang w:eastAsia="cs-CZ"/>
        </w:rPr>
        <w:t>armonogram</w:t>
      </w:r>
    </w:p>
    <w:p w14:paraId="077D172E" w14:textId="1788F524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</w:t>
      </w:r>
      <w:r w:rsidR="00FC06FA">
        <w:rPr>
          <w:rFonts w:eastAsia="Times New Roman" w:cs="Times New Roman"/>
          <w:highlight w:val="green"/>
          <w:lang w:eastAsia="cs-CZ"/>
        </w:rPr>
        <w:t xml:space="preserve"> případně</w:t>
      </w:r>
      <w:r w:rsidRPr="009B4030">
        <w:rPr>
          <w:rFonts w:eastAsia="Times New Roman" w:cs="Times New Roman"/>
          <w:highlight w:val="green"/>
          <w:lang w:eastAsia="cs-CZ"/>
        </w:rPr>
        <w:t xml:space="preserve">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F150C75" w:rsidR="00613238" w:rsidRDefault="00FC06F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A65593E" w:rsidR="00613238" w:rsidRDefault="00FC06FA" w:rsidP="00613238">
      <w:pPr>
        <w:spacing w:after="0" w:line="276" w:lineRule="auto"/>
        <w:rPr>
          <w:rFonts w:asciiTheme="majorHAnsi" w:hAnsiTheme="majorHAnsi"/>
          <w:noProof/>
        </w:rPr>
      </w:pPr>
      <w:r w:rsidRPr="000858B7">
        <w:rPr>
          <w:b/>
          <w:noProof/>
        </w:rPr>
        <w:t>Bc. Jiří Svoboda, MBA</w:t>
      </w:r>
      <w:r w:rsidRPr="000858B7">
        <w:rPr>
          <w:noProof/>
        </w:rPr>
        <w:tab/>
      </w:r>
      <w:r w:rsidR="00613238" w:rsidRPr="000858B7">
        <w:rPr>
          <w:rFonts w:asciiTheme="majorHAnsi" w:hAnsiTheme="majorHAnsi"/>
        </w:rPr>
        <w:t xml:space="preserve"> </w:t>
      </w:r>
      <w:r w:rsidR="000858B7">
        <w:rPr>
          <w:rFonts w:asciiTheme="majorHAnsi" w:hAnsiTheme="majorHAnsi"/>
        </w:rPr>
        <w:tab/>
        <w:t xml:space="preserve">  </w:t>
      </w:r>
      <w:r w:rsidR="000858B7">
        <w:rPr>
          <w:rFonts w:asciiTheme="majorHAnsi" w:hAnsiTheme="majorHAnsi"/>
        </w:rPr>
        <w:tab/>
      </w:r>
      <w:r w:rsidR="000858B7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E16F56D" w14:textId="77758239" w:rsidR="00FC06FA" w:rsidRDefault="00FC06F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6516C" w14:textId="77777777" w:rsidR="002F461F" w:rsidRDefault="002F461F" w:rsidP="00962258">
      <w:pPr>
        <w:spacing w:after="0" w:line="240" w:lineRule="auto"/>
      </w:pPr>
      <w:r>
        <w:separator/>
      </w:r>
    </w:p>
  </w:endnote>
  <w:endnote w:type="continuationSeparator" w:id="0">
    <w:p w14:paraId="0CF8DD96" w14:textId="77777777" w:rsidR="002F461F" w:rsidRDefault="002F46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7FC6" w14:paraId="17C75F2C" w14:textId="77777777" w:rsidTr="00C27FC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C27FC6" w:rsidRPr="00B8518B" w:rsidRDefault="00C27FC6" w:rsidP="00C27F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C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C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C27FC6" w:rsidRDefault="00C27FC6" w:rsidP="00C27FC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C27FC6" w:rsidRDefault="00C27FC6" w:rsidP="00C27FC6">
          <w:pPr>
            <w:pStyle w:val="Zpat"/>
          </w:pPr>
        </w:p>
      </w:tc>
      <w:tc>
        <w:tcPr>
          <w:tcW w:w="2921" w:type="dxa"/>
        </w:tcPr>
        <w:p w14:paraId="0366BF59" w14:textId="77777777" w:rsidR="00C27FC6" w:rsidRDefault="00C27FC6" w:rsidP="00C27FC6">
          <w:pPr>
            <w:pStyle w:val="Zpat"/>
          </w:pPr>
        </w:p>
      </w:tc>
    </w:tr>
  </w:tbl>
  <w:p w14:paraId="6838673E" w14:textId="77777777" w:rsidR="00C27FC6" w:rsidRPr="00B8518B" w:rsidRDefault="00C27FC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40B63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AACFE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7FC6" w14:paraId="3EEAE6A9" w14:textId="77777777" w:rsidTr="00C27FC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C27FC6" w:rsidRPr="00B8518B" w:rsidRDefault="00C27FC6" w:rsidP="00C27F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C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C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C27FC6" w:rsidRDefault="00C27FC6" w:rsidP="00C27FC6">
          <w:pPr>
            <w:pStyle w:val="Zpat"/>
          </w:pPr>
          <w:r>
            <w:t>Správa železnic, státní organizace</w:t>
          </w:r>
        </w:p>
        <w:p w14:paraId="18D9786B" w14:textId="77777777" w:rsidR="00C27FC6" w:rsidRDefault="00C27FC6" w:rsidP="00C27FC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C27FC6" w:rsidRDefault="00C27FC6" w:rsidP="00C27FC6">
          <w:pPr>
            <w:pStyle w:val="Zpat"/>
          </w:pPr>
          <w:r>
            <w:t>Sídlo: Dlážděná 1003/7, 110 00 Praha 1</w:t>
          </w:r>
        </w:p>
        <w:p w14:paraId="528FD792" w14:textId="77777777" w:rsidR="00C27FC6" w:rsidRDefault="00C27FC6" w:rsidP="00C27FC6">
          <w:pPr>
            <w:pStyle w:val="Zpat"/>
          </w:pPr>
          <w:r>
            <w:t>IČ: 709 94 234 DIČ: CZ 709 94 234</w:t>
          </w:r>
        </w:p>
        <w:p w14:paraId="734DD67A" w14:textId="68750E5C" w:rsidR="00C27FC6" w:rsidRDefault="00C27FC6" w:rsidP="00C27FC6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C27FC6" w:rsidRDefault="00C27FC6" w:rsidP="00C27FC6">
          <w:pPr>
            <w:pStyle w:val="Zpat"/>
          </w:pPr>
        </w:p>
      </w:tc>
    </w:tr>
  </w:tbl>
  <w:p w14:paraId="0935A879" w14:textId="77777777" w:rsidR="00C27FC6" w:rsidRPr="00B8518B" w:rsidRDefault="00C27FC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75E14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C51572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27FC6" w:rsidRPr="00460660" w:rsidRDefault="00C27FC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2CE39" w14:textId="77777777" w:rsidR="002F461F" w:rsidRDefault="002F461F" w:rsidP="00962258">
      <w:pPr>
        <w:spacing w:after="0" w:line="240" w:lineRule="auto"/>
      </w:pPr>
      <w:r>
        <w:separator/>
      </w:r>
    </w:p>
  </w:footnote>
  <w:footnote w:type="continuationSeparator" w:id="0">
    <w:p w14:paraId="63939504" w14:textId="77777777" w:rsidR="002F461F" w:rsidRDefault="002F46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23D35423" w:rsidR="00C27FC6" w:rsidRPr="00D6163D" w:rsidRDefault="00AC64B7" w:rsidP="00AC64B7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7D4F83D4" wp14:editId="6E8146F0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7FC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C27FC6" w:rsidRPr="00B8518B" w:rsidRDefault="00C27FC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27FC6" w:rsidRDefault="00C27FC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27FC6" w:rsidRPr="00D6163D" w:rsidRDefault="00C27FC6" w:rsidP="00FC6389">
          <w:pPr>
            <w:pStyle w:val="Druhdokumentu"/>
          </w:pPr>
        </w:p>
      </w:tc>
    </w:tr>
    <w:tr w:rsidR="00C27FC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27FC6" w:rsidRPr="00B8518B" w:rsidRDefault="00C27FC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27FC6" w:rsidRDefault="00C27FC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27FC6" w:rsidRPr="00D6163D" w:rsidRDefault="00C27FC6" w:rsidP="00FC6389">
          <w:pPr>
            <w:pStyle w:val="Druhdokumentu"/>
          </w:pPr>
        </w:p>
      </w:tc>
    </w:tr>
  </w:tbl>
  <w:p w14:paraId="4D4AA505" w14:textId="5DD24FDB" w:rsidR="00C27FC6" w:rsidRPr="00D6163D" w:rsidRDefault="00C27FC6" w:rsidP="00FC6389">
    <w:pPr>
      <w:pStyle w:val="Zhlav"/>
      <w:rPr>
        <w:sz w:val="8"/>
        <w:szCs w:val="8"/>
      </w:rPr>
    </w:pPr>
  </w:p>
  <w:p w14:paraId="43A9937F" w14:textId="77777777" w:rsidR="00C27FC6" w:rsidRPr="00460660" w:rsidRDefault="00C27FC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0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7"/>
  </w:num>
  <w:num w:numId="13">
    <w:abstractNumId w:val="19"/>
  </w:num>
  <w:num w:numId="14">
    <w:abstractNumId w:val="4"/>
  </w:num>
  <w:num w:numId="15">
    <w:abstractNumId w:val="22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3"/>
  </w:num>
  <w:num w:numId="21">
    <w:abstractNumId w:val="7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4"/>
  </w:num>
  <w:num w:numId="28">
    <w:abstractNumId w:val="16"/>
  </w:num>
  <w:num w:numId="29">
    <w:abstractNumId w:val="7"/>
  </w:num>
  <w:num w:numId="30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858B7"/>
    <w:rsid w:val="000A13BC"/>
    <w:rsid w:val="000A3F85"/>
    <w:rsid w:val="000B324A"/>
    <w:rsid w:val="000C664E"/>
    <w:rsid w:val="000D278B"/>
    <w:rsid w:val="000E23A7"/>
    <w:rsid w:val="00105CB1"/>
    <w:rsid w:val="0010693F"/>
    <w:rsid w:val="00107E5E"/>
    <w:rsid w:val="00114472"/>
    <w:rsid w:val="0013379C"/>
    <w:rsid w:val="00146A27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C4D44"/>
    <w:rsid w:val="002D0870"/>
    <w:rsid w:val="002D08B1"/>
    <w:rsid w:val="002D6523"/>
    <w:rsid w:val="002E0CD7"/>
    <w:rsid w:val="002F461F"/>
    <w:rsid w:val="003013FA"/>
    <w:rsid w:val="003071BD"/>
    <w:rsid w:val="00341DCF"/>
    <w:rsid w:val="00357BC6"/>
    <w:rsid w:val="0038088E"/>
    <w:rsid w:val="00393EA4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059B"/>
    <w:rsid w:val="0042314E"/>
    <w:rsid w:val="00431925"/>
    <w:rsid w:val="00441430"/>
    <w:rsid w:val="004429CF"/>
    <w:rsid w:val="00450F07"/>
    <w:rsid w:val="00453CD3"/>
    <w:rsid w:val="00460660"/>
    <w:rsid w:val="00461D32"/>
    <w:rsid w:val="00471590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29D6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953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E52CE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C64B7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27FC6"/>
    <w:rsid w:val="00C35AE5"/>
    <w:rsid w:val="00C42A1F"/>
    <w:rsid w:val="00C44F6A"/>
    <w:rsid w:val="00C47AE3"/>
    <w:rsid w:val="00C47C3C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06F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B6D39-F457-4492-8836-8F0E227E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1350</Words>
  <Characters>7968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10</cp:revision>
  <cp:lastPrinted>2017-11-28T17:18:00Z</cp:lastPrinted>
  <dcterms:created xsi:type="dcterms:W3CDTF">2020-11-20T11:13:00Z</dcterms:created>
  <dcterms:modified xsi:type="dcterms:W3CDTF">2020-12-04T09:31:00Z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