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C6FFC">
        <w:rPr>
          <w:rFonts w:ascii="Verdana" w:hAnsi="Verdana"/>
          <w:b/>
          <w:sz w:val="18"/>
          <w:szCs w:val="18"/>
        </w:rPr>
        <w:t>„</w:t>
      </w:r>
      <w:r w:rsidR="006C6FFC" w:rsidRPr="006C6FFC">
        <w:rPr>
          <w:rFonts w:ascii="Verdana" w:hAnsi="Verdana"/>
          <w:b/>
          <w:sz w:val="18"/>
          <w:szCs w:val="18"/>
        </w:rPr>
        <w:t>Základní kurzy svařování a řezání kovových materiálů 2021-2022</w:t>
      </w:r>
      <w:r w:rsidR="00AF2031" w:rsidRPr="006C6FFC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C6F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C6FFC" w:rsidRPr="006C6FF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6FFC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276AA15"/>
  <w15:docId w15:val="{7CAD8121-A675-4314-94F2-DB4B11FEC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90D983-E963-4977-8045-4AB1D6B5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2018-11-26T13:17:00Z</dcterms:created>
  <dcterms:modified xsi:type="dcterms:W3CDTF">2020-12-17T12:35:00Z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