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6048568B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580C02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580C02" w:rsidRPr="00580C02">
        <w:rPr>
          <w:rFonts w:asciiTheme="majorHAnsi" w:eastAsia="Times New Roman" w:hAnsiTheme="majorHAnsi" w:cs="Times New Roman"/>
          <w:lang w:eastAsia="cs-CZ"/>
        </w:rPr>
        <w:t>4</w:t>
      </w:r>
      <w:r w:rsidRPr="00580C02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2815DFFF" w:rsidR="004E1498" w:rsidRPr="00580C02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580C02">
        <w:rPr>
          <w:rFonts w:eastAsia="Times New Roman" w:cs="Times New Roman"/>
          <w:lang w:eastAsia="cs-CZ"/>
        </w:rPr>
        <w:t xml:space="preserve">zastoupená </w:t>
      </w:r>
      <w:r w:rsidR="00580C02" w:rsidRPr="00580C02">
        <w:rPr>
          <w:rFonts w:eastAsia="Times New Roman" w:cs="Times New Roman"/>
          <w:b/>
          <w:lang w:eastAsia="cs-CZ"/>
        </w:rPr>
        <w:t>Ing. Alešem Krejčím, náměstkem GŘ pro ekonomiku</w:t>
      </w:r>
    </w:p>
    <w:p w14:paraId="12223576" w14:textId="01B8F311" w:rsidR="004E1498" w:rsidRPr="004E1498" w:rsidRDefault="00580C02" w:rsidP="00580C0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                        </w:t>
      </w:r>
    </w:p>
    <w:p w14:paraId="7EFD0C0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</w:p>
    <w:p w14:paraId="4CC3B95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349E926F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4E1498">
        <w:rPr>
          <w:rFonts w:eastAsia="Times New Roman" w:cs="Times New Roman"/>
          <w:lang w:eastAsia="cs-CZ"/>
        </w:rPr>
        <w:t>„</w:t>
      </w:r>
      <w:r w:rsidR="00580C02" w:rsidRPr="00DB2524">
        <w:rPr>
          <w:rFonts w:ascii="Verdana" w:eastAsia="Verdana" w:hAnsi="Verdana" w:cs="Verdana"/>
          <w:b/>
          <w:color w:val="000000"/>
          <w:sz w:val="20"/>
        </w:rPr>
        <w:t>Definice řešení funkční části spisové služby "Jmenný rejstřík"</w:t>
      </w:r>
      <w:r w:rsidRPr="004E1498">
        <w:rPr>
          <w:rFonts w:eastAsia="Times New Roman" w:cs="Times New Roman"/>
          <w:lang w:eastAsia="cs-CZ"/>
        </w:rPr>
        <w:t xml:space="preserve">“, </w:t>
      </w:r>
      <w:r w:rsidR="000D278B" w:rsidRPr="00964230">
        <w:rPr>
          <w:rFonts w:eastAsia="Times New Roman" w:cs="Times New Roman"/>
          <w:lang w:eastAsia="cs-CZ"/>
        </w:rPr>
        <w:t xml:space="preserve">č.j. veřejné zakázky </w:t>
      </w:r>
      <w:r w:rsidR="00964230" w:rsidRPr="00964230">
        <w:rPr>
          <w:rFonts w:eastAsia="Times New Roman" w:cs="Times New Roman"/>
          <w:lang w:eastAsia="cs-CZ"/>
        </w:rPr>
        <w:t>71564/2020-SŽ-GŘ-O8</w:t>
      </w:r>
      <w:r w:rsidR="005740C3" w:rsidRPr="00964230">
        <w:rPr>
          <w:rFonts w:eastAsia="Times New Roman" w:cs="Times New Roman"/>
          <w:lang w:eastAsia="cs-CZ"/>
        </w:rPr>
        <w:t xml:space="preserve"> </w:t>
      </w:r>
      <w:r w:rsidRPr="00964230">
        <w:rPr>
          <w:rFonts w:eastAsia="Times New Roman" w:cs="Times New Roman"/>
          <w:lang w:eastAsia="cs-CZ"/>
        </w:rPr>
        <w:t>(dále jen „veřejná zakázka</w:t>
      </w:r>
      <w:r w:rsidR="006566F7" w:rsidRPr="00964230">
        <w:rPr>
          <w:rFonts w:eastAsia="Times New Roman" w:cs="Times New Roman"/>
          <w:lang w:eastAsia="cs-CZ"/>
        </w:rPr>
        <w:t>“). Jednotlivá ustanovení této S</w:t>
      </w:r>
      <w:r w:rsidRPr="00964230">
        <w:rPr>
          <w:rFonts w:eastAsia="Times New Roman" w:cs="Times New Roman"/>
          <w:lang w:eastAsia="cs-CZ"/>
        </w:rPr>
        <w:t>mlouvy tak budou vykládána v souladu se zadávacími podmínkami veřejné zakázky</w:t>
      </w:r>
      <w:r w:rsidRPr="004E1498">
        <w:rPr>
          <w:rFonts w:eastAsia="Times New Roman" w:cs="Times New Roman"/>
          <w:lang w:eastAsia="cs-CZ"/>
        </w:rPr>
        <w:t xml:space="preserve">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6CA2C533" w14:textId="160464CA" w:rsidR="00580C02" w:rsidRPr="00580C02" w:rsidRDefault="004E1498" w:rsidP="00580C02">
      <w:pPr>
        <w:pStyle w:val="Nadpis2"/>
        <w:jc w:val="left"/>
        <w:rPr>
          <w:rFonts w:ascii="Verdana" w:eastAsia="Verdana" w:hAnsi="Verdana" w:cs="Verdana"/>
          <w:color w:val="000000"/>
          <w:sz w:val="20"/>
        </w:rPr>
      </w:pPr>
      <w:r w:rsidRPr="004E1498">
        <w:t>Předmětem díla je</w:t>
      </w:r>
      <w:r w:rsidR="00580C02">
        <w:t>:</w:t>
      </w:r>
    </w:p>
    <w:p w14:paraId="34385EC9" w14:textId="52798B07" w:rsidR="00580C02" w:rsidRPr="00580C02" w:rsidRDefault="00580C02" w:rsidP="00580C02">
      <w:pPr>
        <w:pStyle w:val="Odstavecseseznamem"/>
        <w:numPr>
          <w:ilvl w:val="0"/>
          <w:numId w:val="27"/>
        </w:numPr>
        <w:spacing w:before="35" w:after="0" w:line="243" w:lineRule="exact"/>
        <w:ind w:right="30"/>
        <w:rPr>
          <w:rFonts w:ascii="Verdana" w:eastAsia="Verdana" w:hAnsi="Verdana" w:cs="Verdana"/>
          <w:color w:val="000000"/>
        </w:rPr>
      </w:pPr>
      <w:r w:rsidRPr="00580C02">
        <w:rPr>
          <w:rFonts w:ascii="Verdana" w:eastAsia="Verdana" w:hAnsi="Verdana" w:cs="Verdana"/>
          <w:color w:val="000000"/>
        </w:rPr>
        <w:t>Popis základních funkcionalit jmenného rejstříku</w:t>
      </w:r>
    </w:p>
    <w:p w14:paraId="71992719" w14:textId="77777777" w:rsidR="00580C02" w:rsidRPr="00580C02" w:rsidRDefault="00580C02" w:rsidP="00580C02">
      <w:pPr>
        <w:pStyle w:val="Odstavecseseznamem"/>
        <w:numPr>
          <w:ilvl w:val="0"/>
          <w:numId w:val="27"/>
        </w:numPr>
        <w:spacing w:before="35" w:after="0" w:line="243" w:lineRule="exact"/>
        <w:ind w:right="30"/>
        <w:rPr>
          <w:rFonts w:ascii="Verdana" w:eastAsia="Verdana" w:hAnsi="Verdana" w:cs="Verdana"/>
          <w:color w:val="000000"/>
        </w:rPr>
      </w:pPr>
      <w:r w:rsidRPr="00580C02">
        <w:rPr>
          <w:rFonts w:ascii="Verdana" w:eastAsia="Verdana" w:hAnsi="Verdana" w:cs="Verdana"/>
          <w:color w:val="000000"/>
        </w:rPr>
        <w:t>Popis základních procesů při práci se jmenným rejstříkem</w:t>
      </w:r>
    </w:p>
    <w:p w14:paraId="1B7DE15F" w14:textId="77777777" w:rsidR="00580C02" w:rsidRPr="00580C02" w:rsidRDefault="00580C02" w:rsidP="00580C02">
      <w:pPr>
        <w:pStyle w:val="Odstavecseseznamem"/>
        <w:numPr>
          <w:ilvl w:val="0"/>
          <w:numId w:val="27"/>
        </w:numPr>
        <w:spacing w:before="35" w:after="0" w:line="243" w:lineRule="exact"/>
        <w:ind w:right="30"/>
        <w:rPr>
          <w:rFonts w:ascii="Verdana" w:eastAsia="Verdana" w:hAnsi="Verdana" w:cs="Verdana"/>
          <w:color w:val="000000"/>
        </w:rPr>
      </w:pPr>
      <w:r w:rsidRPr="00580C02">
        <w:rPr>
          <w:rFonts w:ascii="Verdana" w:eastAsia="Verdana" w:hAnsi="Verdana" w:cs="Verdana"/>
          <w:color w:val="000000"/>
        </w:rPr>
        <w:t>Výčet IS, které v prostředí ERMS zpracovávají dokumenty a které má smysl propojit s ERMS</w:t>
      </w:r>
    </w:p>
    <w:p w14:paraId="473BB395" w14:textId="77777777" w:rsidR="00580C02" w:rsidRPr="00580C02" w:rsidRDefault="00580C02" w:rsidP="00580C02">
      <w:pPr>
        <w:pStyle w:val="Odstavecseseznamem"/>
        <w:numPr>
          <w:ilvl w:val="0"/>
          <w:numId w:val="27"/>
        </w:numPr>
        <w:spacing w:before="35" w:after="0" w:line="243" w:lineRule="exact"/>
        <w:ind w:right="30"/>
        <w:rPr>
          <w:rFonts w:ascii="Verdana" w:eastAsia="Verdana" w:hAnsi="Verdana" w:cs="Verdana"/>
          <w:color w:val="000000"/>
        </w:rPr>
      </w:pPr>
      <w:r w:rsidRPr="00580C02">
        <w:rPr>
          <w:rFonts w:ascii="Verdana" w:eastAsia="Verdana" w:hAnsi="Verdana" w:cs="Verdana"/>
          <w:color w:val="000000"/>
        </w:rPr>
        <w:t>Výčet IS, které v prostředí SŽDC zpracovávají údaje o osobách v rozsahu, který má být veden ve jmenném rejstříku</w:t>
      </w:r>
    </w:p>
    <w:p w14:paraId="58652C33" w14:textId="3B307E27" w:rsidR="00580C02" w:rsidRPr="00580C02" w:rsidRDefault="00580C02" w:rsidP="00580C02">
      <w:pPr>
        <w:pStyle w:val="Odstavecseseznamem"/>
        <w:numPr>
          <w:ilvl w:val="0"/>
          <w:numId w:val="27"/>
        </w:numPr>
        <w:spacing w:before="35" w:after="0" w:line="243" w:lineRule="exact"/>
        <w:ind w:right="30"/>
        <w:rPr>
          <w:rFonts w:ascii="Verdana" w:eastAsia="Verdana" w:hAnsi="Verdana" w:cs="Verdana"/>
          <w:color w:val="000000"/>
        </w:rPr>
      </w:pPr>
      <w:r w:rsidRPr="00580C02">
        <w:rPr>
          <w:rFonts w:ascii="Verdana" w:eastAsia="Verdana" w:hAnsi="Verdana" w:cs="Verdana"/>
          <w:color w:val="000000"/>
        </w:rPr>
        <w:t xml:space="preserve">Popis napojení jiných IS na jmenný rejstřík </w:t>
      </w:r>
    </w:p>
    <w:p w14:paraId="3C5D8EE6" w14:textId="051B4B9D" w:rsidR="00580C02" w:rsidRPr="00580C02" w:rsidRDefault="00580C02" w:rsidP="00580C02">
      <w:pPr>
        <w:pStyle w:val="Odstavecseseznamem"/>
        <w:numPr>
          <w:ilvl w:val="0"/>
          <w:numId w:val="27"/>
        </w:numPr>
        <w:spacing w:before="35" w:after="0" w:line="243" w:lineRule="exact"/>
        <w:ind w:right="30"/>
        <w:rPr>
          <w:rFonts w:ascii="Verdana" w:eastAsia="Verdana" w:hAnsi="Verdana" w:cs="Verdana"/>
          <w:color w:val="000000"/>
        </w:rPr>
      </w:pPr>
      <w:r w:rsidRPr="00580C02">
        <w:rPr>
          <w:rFonts w:ascii="Verdana" w:eastAsia="Verdana" w:hAnsi="Verdana" w:cs="Verdana"/>
          <w:color w:val="000000"/>
        </w:rPr>
        <w:t xml:space="preserve">Výčet IS, které by měly být napojeny na jmenný rejstřík </w:t>
      </w:r>
    </w:p>
    <w:p w14:paraId="6C3FD662" w14:textId="77777777" w:rsidR="00580C02" w:rsidRPr="00580C02" w:rsidRDefault="00580C02" w:rsidP="00580C02">
      <w:pPr>
        <w:pStyle w:val="Odstavecseseznamem"/>
        <w:numPr>
          <w:ilvl w:val="0"/>
          <w:numId w:val="27"/>
        </w:numPr>
        <w:spacing w:before="35" w:after="0" w:line="243" w:lineRule="exact"/>
        <w:ind w:right="30"/>
        <w:rPr>
          <w:rFonts w:ascii="Verdana" w:eastAsia="Verdana" w:hAnsi="Verdana" w:cs="Verdana"/>
          <w:color w:val="000000"/>
        </w:rPr>
      </w:pPr>
      <w:r w:rsidRPr="00580C02">
        <w:rPr>
          <w:rFonts w:ascii="Verdana" w:eastAsia="Verdana" w:hAnsi="Verdana" w:cs="Verdana"/>
          <w:color w:val="000000"/>
        </w:rPr>
        <w:t>Návrh harmonogramu napojení jiných IS na jmenný rejstřík</w:t>
      </w:r>
    </w:p>
    <w:p w14:paraId="68105CB8" w14:textId="77777777" w:rsidR="00580C02" w:rsidRPr="00580C02" w:rsidRDefault="00580C02" w:rsidP="00580C02">
      <w:pPr>
        <w:pStyle w:val="Odstavecseseznamem"/>
        <w:numPr>
          <w:ilvl w:val="0"/>
          <w:numId w:val="27"/>
        </w:numPr>
        <w:spacing w:before="35" w:after="0" w:line="243" w:lineRule="exact"/>
        <w:ind w:right="30"/>
        <w:rPr>
          <w:rFonts w:ascii="Verdana" w:eastAsia="Verdana" w:hAnsi="Verdana" w:cs="Verdana"/>
          <w:color w:val="000000"/>
        </w:rPr>
      </w:pPr>
      <w:r w:rsidRPr="00580C02">
        <w:rPr>
          <w:rFonts w:ascii="Verdana" w:eastAsia="Verdana" w:hAnsi="Verdana" w:cs="Verdana"/>
          <w:color w:val="000000"/>
        </w:rPr>
        <w:lastRenderedPageBreak/>
        <w:t>Kvalifikovaný odhad časové (v týdnech) a finanční (v člověkohodinách) náročnosti implementace jmenného rejstříku.</w:t>
      </w:r>
    </w:p>
    <w:p w14:paraId="03F039C6" w14:textId="740C8FE1" w:rsidR="004E1498" w:rsidRPr="004E1498" w:rsidRDefault="004E1498" w:rsidP="00580C02">
      <w:pPr>
        <w:pStyle w:val="Nadpis2"/>
        <w:numPr>
          <w:ilvl w:val="0"/>
          <w:numId w:val="0"/>
        </w:numPr>
        <w:jc w:val="left"/>
      </w:pPr>
    </w:p>
    <w:p w14:paraId="31E5226B" w14:textId="6B403C8B" w:rsidR="004E1498" w:rsidRDefault="004E1498" w:rsidP="00592757">
      <w:pPr>
        <w:pStyle w:val="Nadpis2"/>
        <w:jc w:val="left"/>
      </w:pPr>
      <w:r w:rsidRPr="00580C02">
        <w:t>Předmět díla je blíže specifikován v přílo</w:t>
      </w:r>
      <w:r w:rsidR="00CB53B1" w:rsidRPr="00580C02">
        <w:t>ze</w:t>
      </w:r>
      <w:r w:rsidRPr="00580C02">
        <w:t xml:space="preserve"> </w:t>
      </w:r>
      <w:r w:rsidR="00580C02" w:rsidRPr="00580C02">
        <w:t xml:space="preserve">č. 2 této </w:t>
      </w:r>
      <w:r w:rsidR="006566F7" w:rsidRPr="00580C02">
        <w:t>S</w:t>
      </w:r>
      <w:r w:rsidRPr="00580C02">
        <w:t>mlouvy.</w:t>
      </w:r>
    </w:p>
    <w:p w14:paraId="628A6D4E" w14:textId="79751526" w:rsidR="009F1258" w:rsidRPr="009F1258" w:rsidRDefault="009F1258" w:rsidP="00120690">
      <w:pPr>
        <w:pStyle w:val="Nadpis2"/>
        <w:jc w:val="left"/>
      </w:pPr>
      <w:r>
        <w:t>Zhotovitel je povinen při provedení Díla postupovat v souladu s Přílohou č. 4. O</w:t>
      </w:r>
      <w:r w:rsidR="00140B8B">
        <w:t>bje</w:t>
      </w:r>
      <w:r>
        <w:t>d</w:t>
      </w:r>
      <w:r w:rsidR="00140B8B">
        <w:t>n</w:t>
      </w:r>
      <w:r>
        <w:t xml:space="preserve">atel je oprávněn tento soulad kontrolovat v průběhu zhotovování Díla a upozornit na nedostatky či rozpory. V případě nedodržení postupu stanoveného v Příloze č. 4, je </w:t>
      </w:r>
      <w:r w:rsidR="00140B8B">
        <w:t>Objednatel oprávněn akceptovat dílo s výhradou. Nedodržení postupu podle Přílohy č. 4 se považuje za vadu na Díla, tato vada bude dle své povahy odstranitelná či neodstranitelná a dále se bude postupovat v souladu s obchodními podmínkami popřípadě zákonem č. 89/2012 Sb.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41BEDF5A" w:rsidR="00810E9B" w:rsidRPr="00580C02" w:rsidRDefault="00810E9B" w:rsidP="00275474">
      <w:pPr>
        <w:pStyle w:val="Nadpis2"/>
        <w:jc w:val="left"/>
      </w:pPr>
      <w:r w:rsidRPr="00580C02">
        <w:t xml:space="preserve">Fakturace bude provedena </w:t>
      </w:r>
      <w:r w:rsidR="00CB53B1" w:rsidRPr="00580C02">
        <w:t xml:space="preserve">na základě předávacího protokolu podepsaného </w:t>
      </w:r>
      <w:r w:rsidR="006566F7" w:rsidRPr="00580C02">
        <w:t>oběma S</w:t>
      </w:r>
      <w:r w:rsidR="00580C02" w:rsidRPr="00580C02">
        <w:t>mluvními stranami po dokončení a předání předmětu díla.</w:t>
      </w:r>
    </w:p>
    <w:p w14:paraId="1AFBED57" w14:textId="77777777" w:rsidR="004E1498" w:rsidRPr="00580C02" w:rsidRDefault="004E1498" w:rsidP="00592757">
      <w:pPr>
        <w:pStyle w:val="Nadpis1"/>
        <w:rPr>
          <w:rFonts w:eastAsia="Times New Roman"/>
          <w:lang w:eastAsia="cs-CZ"/>
        </w:rPr>
      </w:pPr>
      <w:r w:rsidRPr="00580C02">
        <w:rPr>
          <w:rFonts w:eastAsia="Times New Roman"/>
          <w:lang w:eastAsia="cs-CZ"/>
        </w:rPr>
        <w:t>Místo a doba plnění</w:t>
      </w:r>
    </w:p>
    <w:p w14:paraId="4DCCF507" w14:textId="41F14D7B" w:rsidR="004E1498" w:rsidRPr="00580C02" w:rsidRDefault="004E1498" w:rsidP="00592757">
      <w:pPr>
        <w:pStyle w:val="Nadpis2"/>
        <w:jc w:val="left"/>
      </w:pPr>
      <w:r w:rsidRPr="00580C02">
        <w:t>Místem plnění je</w:t>
      </w:r>
      <w:r w:rsidR="00580C02" w:rsidRPr="00580C02">
        <w:t xml:space="preserve"> Praha</w:t>
      </w:r>
      <w:r w:rsidR="003E0E98">
        <w:t>.</w:t>
      </w:r>
      <w:bookmarkStart w:id="0" w:name="_GoBack"/>
      <w:bookmarkEnd w:id="0"/>
    </w:p>
    <w:p w14:paraId="773EB070" w14:textId="09D4FDB7" w:rsidR="00CB53B1" w:rsidRPr="00580C02" w:rsidRDefault="00CB53B1" w:rsidP="00CB53B1">
      <w:pPr>
        <w:pStyle w:val="Nadpis2"/>
        <w:jc w:val="left"/>
      </w:pPr>
      <w:r w:rsidRPr="00580C02">
        <w:t xml:space="preserve">Smlouva se uzavírá na dobu určitou do </w:t>
      </w:r>
      <w:r w:rsidR="00580C02" w:rsidRPr="00580C02">
        <w:t>7 měsíců od účinnosti této Smlouvy.</w:t>
      </w:r>
    </w:p>
    <w:p w14:paraId="624D8729" w14:textId="443675F5" w:rsidR="005740C3" w:rsidRPr="00580C02" w:rsidRDefault="004E1498" w:rsidP="005740C3">
      <w:pPr>
        <w:pStyle w:val="Nadpis2"/>
        <w:jc w:val="left"/>
      </w:pPr>
      <w:r w:rsidRPr="00580C02">
        <w:t>Z</w:t>
      </w:r>
      <w:r w:rsidR="005740C3" w:rsidRPr="00580C02">
        <w:t xml:space="preserve">hotovitel je povinen provést a předat </w:t>
      </w:r>
      <w:r w:rsidRPr="00580C02">
        <w:t xml:space="preserve">Dílo nejpozději do </w:t>
      </w:r>
      <w:r w:rsidR="00580C02" w:rsidRPr="00580C02">
        <w:t>6 měsíců od účinnosti této Smlouvy</w:t>
      </w:r>
      <w:r w:rsidR="0086114C" w:rsidRPr="00580C02">
        <w:t>.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60BECC3A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="00580C02">
        <w:t>24 měsíců</w:t>
      </w:r>
      <w:r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2FCCA493" w:rsidR="00FD17C6" w:rsidRPr="00580C02" w:rsidRDefault="00FD17C6" w:rsidP="00275474">
      <w:pPr>
        <w:pStyle w:val="Nadpis2"/>
        <w:jc w:val="left"/>
      </w:pPr>
      <w:r w:rsidRPr="00580C02">
        <w:t>Na provedení Díla se budou podílet č</w:t>
      </w:r>
      <w:r w:rsidR="00816B59" w:rsidRPr="00580C02">
        <w:t>lenové realizačního týmu uvedení</w:t>
      </w:r>
      <w:r w:rsidR="00580C02" w:rsidRPr="00580C02">
        <w:t xml:space="preserve"> v příloze č. 2 </w:t>
      </w:r>
      <w:r w:rsidR="006566F7" w:rsidRPr="00580C02">
        <w:t>této S</w:t>
      </w:r>
      <w:r w:rsidRPr="00580C02">
        <w:t>mlouvy.</w:t>
      </w:r>
    </w:p>
    <w:p w14:paraId="5BBC90E2" w14:textId="25A3BD96" w:rsidR="00FD17C6" w:rsidRPr="00580C02" w:rsidRDefault="00FD17C6" w:rsidP="00275474">
      <w:pPr>
        <w:pStyle w:val="Nadpis2"/>
        <w:jc w:val="left"/>
      </w:pPr>
      <w:r w:rsidRPr="00580C02">
        <w:t>Zhotovitel může v průběhu plnění Předmětu díla nahradit některé osoby z osob, uvedených v seznamu realizačního týmu dle přílohy č</w:t>
      </w:r>
      <w:r w:rsidR="00580C02" w:rsidRPr="00580C02">
        <w:t>. 2</w:t>
      </w:r>
      <w:r w:rsidRPr="00580C02">
        <w:t xml:space="preserve"> této </w:t>
      </w:r>
      <w:r w:rsidR="00A605AE" w:rsidRPr="00580C02">
        <w:t>S</w:t>
      </w:r>
      <w:r w:rsidRPr="00580C02">
        <w:t>mlouvy, pouze po předchozím souhlasu Objednatele na základě písemné žádosti Zhotovitele. V případě, že Zhotovitel požádá o změnu některých členů realizační</w:t>
      </w:r>
      <w:r w:rsidR="00580C02" w:rsidRPr="00580C02">
        <w:t>ho týmu uvedeného v příloze č</w:t>
      </w:r>
      <w:r w:rsidRPr="00580C02">
        <w:t xml:space="preserve">. </w:t>
      </w:r>
      <w:r w:rsidR="00580C02" w:rsidRPr="00580C02">
        <w:t>2</w:t>
      </w:r>
      <w:r w:rsidRPr="00580C02">
        <w:t>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lastRenderedPageBreak/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lastRenderedPageBreak/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580C02" w:rsidRDefault="004E1498" w:rsidP="009C30C5">
      <w:pPr>
        <w:pStyle w:val="Nadpis2"/>
        <w:ind w:left="567" w:hanging="567"/>
        <w:jc w:val="left"/>
      </w:pPr>
      <w:r w:rsidRPr="00580C02">
        <w:rPr>
          <w:rFonts w:eastAsia="Calibri"/>
        </w:rPr>
        <w:t xml:space="preserve">Tato </w:t>
      </w:r>
      <w:r w:rsidR="00D9782E" w:rsidRPr="00580C02">
        <w:rPr>
          <w:rFonts w:eastAsia="Calibri"/>
        </w:rPr>
        <w:t>Sml</w:t>
      </w:r>
      <w:r w:rsidRPr="00580C02">
        <w:rPr>
          <w:rFonts w:eastAsia="Calibri"/>
        </w:rPr>
        <w:t xml:space="preserve">ouva nabývá platnosti okamžikem podpisu poslední ze </w:t>
      </w:r>
      <w:r w:rsidR="00D9782E" w:rsidRPr="00580C02">
        <w:rPr>
          <w:rFonts w:eastAsia="Calibri"/>
        </w:rPr>
        <w:t>Sml</w:t>
      </w:r>
      <w:r w:rsidRPr="00580C02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132EAB42" w14:textId="0506D019" w:rsidR="006E6E61" w:rsidRPr="00580C02" w:rsidRDefault="006E6E61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580C02">
        <w:rPr>
          <w:rFonts w:eastAsia="Times New Roman" w:cs="Times New Roman"/>
          <w:lang w:eastAsia="cs-CZ"/>
        </w:rPr>
        <w:t>Bližší specifikace</w:t>
      </w:r>
      <w:r w:rsidR="00580C02" w:rsidRPr="00580C02">
        <w:rPr>
          <w:rFonts w:eastAsia="Times New Roman" w:cs="Times New Roman"/>
          <w:lang w:eastAsia="cs-CZ"/>
        </w:rPr>
        <w:t xml:space="preserve"> předmětu plnění</w:t>
      </w:r>
    </w:p>
    <w:p w14:paraId="39F4CC14" w14:textId="64D7C092" w:rsidR="00580C02" w:rsidRDefault="00580C02" w:rsidP="00580C02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580C02">
        <w:rPr>
          <w:rFonts w:eastAsia="Times New Roman" w:cs="Times New Roman"/>
          <w:lang w:eastAsia="cs-CZ"/>
        </w:rPr>
        <w:t xml:space="preserve">Seznam realizačního </w:t>
      </w:r>
      <w:r w:rsidRPr="009B4030">
        <w:rPr>
          <w:rFonts w:eastAsia="Times New Roman" w:cs="Times New Roman"/>
          <w:highlight w:val="green"/>
          <w:lang w:eastAsia="cs-CZ"/>
        </w:rPr>
        <w:t>týmu</w:t>
      </w:r>
      <w:r>
        <w:rPr>
          <w:rFonts w:eastAsia="Times New Roman" w:cs="Times New Roman"/>
          <w:highlight w:val="green"/>
          <w:lang w:eastAsia="cs-CZ"/>
        </w:rPr>
        <w:t xml:space="preserve"> </w:t>
      </w:r>
      <w:r w:rsidRPr="009B4030">
        <w:rPr>
          <w:rFonts w:eastAsia="Times New Roman" w:cs="Times New Roman"/>
          <w:highlight w:val="green"/>
          <w:lang w:eastAsia="cs-CZ"/>
        </w:rPr>
        <w:t>- doplní Zhotovitel</w:t>
      </w:r>
    </w:p>
    <w:p w14:paraId="44038E49" w14:textId="0E25B799" w:rsidR="00580C02" w:rsidRDefault="00580C02" w:rsidP="00580C02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580C02">
        <w:rPr>
          <w:rFonts w:eastAsia="Times New Roman" w:cs="Times New Roman"/>
          <w:lang w:eastAsia="cs-CZ"/>
        </w:rPr>
        <w:t>GDPR</w:t>
      </w:r>
    </w:p>
    <w:p w14:paraId="616AF47E" w14:textId="25EE78CA" w:rsidR="009F1258" w:rsidRPr="00580C02" w:rsidRDefault="009F1258" w:rsidP="00580C02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>
        <w:t xml:space="preserve">Metodika realizace zadání – </w:t>
      </w:r>
      <w:r w:rsidRPr="009F1258">
        <w:rPr>
          <w:highlight w:val="green"/>
        </w:rPr>
        <w:t>doplní Zhotovitel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314AFFCD" w14:textId="49E9A949" w:rsidR="00D657AD" w:rsidRPr="009B4030" w:rsidRDefault="00D657AD" w:rsidP="00580C02">
      <w:pPr>
        <w:pStyle w:val="Odstavecseseznamem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7BEECC2D" w:rsidR="00613238" w:rsidRDefault="00580C02" w:rsidP="00613238">
      <w:pPr>
        <w:spacing w:after="0" w:line="276" w:lineRule="auto"/>
        <w:rPr>
          <w:rFonts w:asciiTheme="majorHAnsi" w:hAnsiTheme="majorHAnsi"/>
        </w:rPr>
      </w:pPr>
      <w:r w:rsidRPr="00580C02">
        <w:rPr>
          <w:b/>
          <w:noProof/>
        </w:rPr>
        <w:t>Ing. Aleš Krejčí</w:t>
      </w:r>
      <w:r w:rsidR="00613238" w:rsidRPr="00580C02">
        <w:rPr>
          <w:rFonts w:asciiTheme="majorHAnsi" w:hAnsiTheme="majorHAnsi"/>
          <w:b/>
        </w:rPr>
        <w:tab/>
      </w:r>
      <w:r w:rsidR="00613238" w:rsidRPr="009B4030">
        <w:rPr>
          <w:rFonts w:asciiTheme="majorHAnsi" w:hAnsiTheme="majorHAnsi"/>
        </w:rPr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27FE4CEF" w:rsidR="00D9782E" w:rsidRDefault="00580C02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náměstek GŘ pro ekonomiku</w:t>
      </w:r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08DB0C" w14:textId="77777777" w:rsidR="002B0660" w:rsidRDefault="002B0660" w:rsidP="00962258">
      <w:pPr>
        <w:spacing w:after="0" w:line="240" w:lineRule="auto"/>
      </w:pPr>
      <w:r>
        <w:separator/>
      </w:r>
    </w:p>
  </w:endnote>
  <w:endnote w:type="continuationSeparator" w:id="0">
    <w:p w14:paraId="4C9C4C77" w14:textId="77777777" w:rsidR="002B0660" w:rsidRDefault="002B06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B095886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0E9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0E9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60577B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8127D5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5F1B55DF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0E9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0E98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1F0990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A2462C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9C288" w14:textId="77777777" w:rsidR="002B0660" w:rsidRDefault="002B0660" w:rsidP="00962258">
      <w:pPr>
        <w:spacing w:after="0" w:line="240" w:lineRule="auto"/>
      </w:pPr>
      <w:r>
        <w:separator/>
      </w:r>
    </w:p>
  </w:footnote>
  <w:footnote w:type="continuationSeparator" w:id="0">
    <w:p w14:paraId="15CF06B9" w14:textId="77777777" w:rsidR="002B0660" w:rsidRDefault="002B06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C321211"/>
    <w:multiLevelType w:val="hybridMultilevel"/>
    <w:tmpl w:val="95C056F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19"/>
  </w:num>
  <w:num w:numId="5">
    <w:abstractNumId w:val="9"/>
  </w:num>
  <w:num w:numId="6">
    <w:abstractNumId w:val="0"/>
  </w:num>
  <w:num w:numId="7">
    <w:abstractNumId w:val="11"/>
  </w:num>
  <w:num w:numId="8">
    <w:abstractNumId w:val="20"/>
  </w:num>
  <w:num w:numId="9">
    <w:abstractNumId w:val="12"/>
  </w:num>
  <w:num w:numId="10">
    <w:abstractNumId w:val="7"/>
  </w:num>
  <w:num w:numId="11">
    <w:abstractNumId w:val="3"/>
  </w:num>
  <w:num w:numId="12">
    <w:abstractNumId w:val="16"/>
  </w:num>
  <w:num w:numId="13">
    <w:abstractNumId w:val="18"/>
  </w:num>
  <w:num w:numId="14">
    <w:abstractNumId w:val="5"/>
  </w:num>
  <w:num w:numId="15">
    <w:abstractNumId w:val="21"/>
  </w:num>
  <w:num w:numId="16">
    <w:abstractNumId w:val="13"/>
  </w:num>
  <w:num w:numId="17">
    <w:abstractNumId w:val="8"/>
  </w:num>
  <w:num w:numId="18">
    <w:abstractNumId w:val="10"/>
  </w:num>
  <w:num w:numId="19">
    <w:abstractNumId w:val="15"/>
  </w:num>
  <w:num w:numId="20">
    <w:abstractNumId w:val="14"/>
  </w:num>
  <w:num w:numId="21">
    <w:abstractNumId w:val="8"/>
  </w:num>
  <w:num w:numId="22">
    <w:abstractNumId w:val="17"/>
  </w:num>
  <w:num w:numId="23">
    <w:abstractNumId w:val="8"/>
  </w:num>
  <w:num w:numId="24">
    <w:abstractNumId w:val="8"/>
  </w:num>
  <w:num w:numId="25">
    <w:abstractNumId w:val="8"/>
  </w:num>
  <w:num w:numId="26">
    <w:abstractNumId w:val="8"/>
  </w:num>
  <w:num w:numId="27">
    <w:abstractNumId w:val="2"/>
  </w:num>
  <w:num w:numId="28">
    <w:abstractNumId w:val="8"/>
  </w:num>
  <w:num w:numId="29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20690"/>
    <w:rsid w:val="0013379C"/>
    <w:rsid w:val="00140B8B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75474"/>
    <w:rsid w:val="00280E07"/>
    <w:rsid w:val="0029605F"/>
    <w:rsid w:val="002B0660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E0E98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80C02"/>
    <w:rsid w:val="00592757"/>
    <w:rsid w:val="00597E84"/>
    <w:rsid w:val="005B76DD"/>
    <w:rsid w:val="005D5624"/>
    <w:rsid w:val="005F1404"/>
    <w:rsid w:val="0060520C"/>
    <w:rsid w:val="0061068E"/>
    <w:rsid w:val="00613238"/>
    <w:rsid w:val="0065016B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22385"/>
    <w:rsid w:val="009223DF"/>
    <w:rsid w:val="00936091"/>
    <w:rsid w:val="00940D8A"/>
    <w:rsid w:val="00950C1F"/>
    <w:rsid w:val="00962258"/>
    <w:rsid w:val="00964230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1258"/>
    <w:rsid w:val="009F392E"/>
    <w:rsid w:val="00A021CC"/>
    <w:rsid w:val="00A02EE7"/>
    <w:rsid w:val="00A157FE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35AE5"/>
    <w:rsid w:val="00C42A1F"/>
    <w:rsid w:val="00C44F6A"/>
    <w:rsid w:val="00C47AE3"/>
    <w:rsid w:val="00C70EC1"/>
    <w:rsid w:val="00CB53B1"/>
    <w:rsid w:val="00CC6991"/>
    <w:rsid w:val="00CD1FC4"/>
    <w:rsid w:val="00D21061"/>
    <w:rsid w:val="00D4108E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344B0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483C4A33-9BDE-4531-8C97-AD30C5630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488E48-0A1D-43A9-B591-BC2F87DE1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1453</Words>
  <Characters>8574</Characters>
  <Application>Microsoft Office Word</Application>
  <DocSecurity>0</DocSecurity>
  <Lines>71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17</cp:revision>
  <cp:lastPrinted>2017-11-28T17:18:00Z</cp:lastPrinted>
  <dcterms:created xsi:type="dcterms:W3CDTF">2020-01-20T10:39:00Z</dcterms:created>
  <dcterms:modified xsi:type="dcterms:W3CDTF">2020-11-03T11:43:00Z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