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3D6E47">
        <w:rPr>
          <w:rFonts w:ascii="Verdana" w:hAnsi="Verdana"/>
          <w:b/>
          <w:sz w:val="18"/>
          <w:szCs w:val="18"/>
          <w:lang w:val="en-US"/>
        </w:rPr>
        <w:t>Demolice objektů v obvodu OŘ Ostrava – Ostrava Kunčice-trafo, Ropice-sklad a releovna, Opava západ-str.domek, Frenštát-techn.domek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B5D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D8D" w:rsidRDefault="002B5D8D">
      <w:r>
        <w:separator/>
      </w:r>
    </w:p>
  </w:endnote>
  <w:endnote w:type="continuationSeparator" w:id="0">
    <w:p w:rsidR="002B5D8D" w:rsidRDefault="002B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6E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6E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D8D" w:rsidRDefault="002B5D8D">
      <w:r>
        <w:separator/>
      </w:r>
    </w:p>
  </w:footnote>
  <w:footnote w:type="continuationSeparator" w:id="0">
    <w:p w:rsidR="002B5D8D" w:rsidRDefault="002B5D8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B5D8D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6E4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021D57"/>
  <w15:docId w15:val="{8ABACDED-4C58-4914-A553-212EA5E3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6263A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96D3BA-57E4-4312-B814-3B5ADD2C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2020-10-22T12:10:00Z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