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bookmarkStart w:id="0" w:name="_GoBack"/>
      <w:bookmarkEnd w:id="0"/>
      <w:r>
        <w:t>S</w:t>
      </w:r>
      <w:r w:rsidR="003C2919">
        <w:t xml:space="preserve">mlouva o dílo na zhotovení </w:t>
      </w:r>
    </w:p>
    <w:p w:rsidR="00F422D3" w:rsidRDefault="003F0FD2" w:rsidP="00A955FC">
      <w:pPr>
        <w:pStyle w:val="Titul2"/>
      </w:pPr>
      <w:r>
        <w:t>Záměru projektu a Dokumentace pro územní řízení</w:t>
      </w:r>
    </w:p>
    <w:p w:rsidR="00BD0C4A" w:rsidRPr="00AA7488" w:rsidRDefault="00BD0C4A" w:rsidP="00BD0C4A">
      <w:pPr>
        <w:pStyle w:val="Titul2"/>
      </w:pPr>
      <w:r w:rsidRPr="00402B45">
        <w:t xml:space="preserve">Název </w:t>
      </w:r>
      <w:r w:rsidRPr="00AA7488">
        <w:t xml:space="preserve">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AA7488">
            <w:rPr>
              <w:rStyle w:val="Nzevakce"/>
              <w:b/>
            </w:rPr>
            <w:t>„</w:t>
          </w:r>
          <w:r w:rsidR="00AA7488" w:rsidRPr="00AA7488">
            <w:rPr>
              <w:rStyle w:val="Nzevakce"/>
              <w:b/>
            </w:rPr>
            <w:t>GSM-R+ETCS Hranice na Moravě – Horní Lideč - Střelná</w:t>
          </w:r>
          <w:r w:rsidRPr="00AA7488">
            <w:rPr>
              <w:rStyle w:val="Nzevakce"/>
              <w:b/>
            </w:rPr>
            <w:t xml:space="preserve">“ </w:t>
          </w:r>
        </w:sdtContent>
      </w:sdt>
    </w:p>
    <w:p w:rsidR="00F422D3" w:rsidRPr="003348F5" w:rsidRDefault="00BD0C4A" w:rsidP="00BD0C4A">
      <w:pPr>
        <w:pStyle w:val="Nadpisbezsl1-2"/>
      </w:pPr>
      <w:r w:rsidRPr="00AA7488">
        <w:t xml:space="preserve"> </w:t>
      </w:r>
      <w:r w:rsidR="00F422D3" w:rsidRPr="00AA7488">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D32690" w:rsidRDefault="00F422D3" w:rsidP="00B42F40">
      <w:pPr>
        <w:pStyle w:val="Textbezodsazen"/>
        <w:spacing w:after="0"/>
      </w:pPr>
      <w:r w:rsidRPr="00D32690">
        <w:t xml:space="preserve">zastoupena: Ing. </w:t>
      </w:r>
      <w:r w:rsidR="00AA7488" w:rsidRPr="00D32690">
        <w:t xml:space="preserve">Petrem </w:t>
      </w:r>
      <w:proofErr w:type="spellStart"/>
      <w:r w:rsidR="00AA7488" w:rsidRPr="00D32690">
        <w:t>Hofhanzlem</w:t>
      </w:r>
      <w:proofErr w:type="spellEnd"/>
      <w:r w:rsidRPr="00D32690">
        <w:t xml:space="preserve">, </w:t>
      </w:r>
      <w:r w:rsidR="00AA7488" w:rsidRPr="00D32690">
        <w:t>ředitelem Stavební správy západ</w:t>
      </w:r>
      <w:r w:rsidRPr="00D32690">
        <w:t xml:space="preserve"> </w:t>
      </w:r>
    </w:p>
    <w:p w:rsidR="00F422D3" w:rsidRPr="003348F5" w:rsidRDefault="00F422D3" w:rsidP="00B42F40">
      <w:pPr>
        <w:pStyle w:val="Textbezodsazen"/>
      </w:pP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F422D3" w:rsidRPr="003348F5" w:rsidRDefault="00F422D3" w:rsidP="00B42F40">
      <w:pPr>
        <w:pStyle w:val="Textbezodsazen"/>
      </w:pPr>
      <w:r w:rsidRPr="003348F5">
        <w:t xml:space="preserve">Stavební správa </w:t>
      </w:r>
      <w:r w:rsidR="00D32690">
        <w:t xml:space="preserve">západ, </w:t>
      </w:r>
      <w:r w:rsidR="00D32690" w:rsidRPr="009F6F84">
        <w:t>Sokolovská 278/1955, 190 00 Praha 9</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 xml:space="preserve">ISPROFOND: </w:t>
      </w:r>
      <w:r w:rsidRPr="00D32690">
        <w:t>5</w:t>
      </w:r>
      <w:r w:rsidR="00D32690" w:rsidRPr="00D32690">
        <w:t>00 372 0031</w:t>
      </w: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w:t>
      </w:r>
      <w:proofErr w:type="spellStart"/>
      <w:r>
        <w:t>za</w:t>
      </w:r>
      <w:r w:rsidR="00AA7488">
        <w:t>+</w:t>
      </w:r>
      <w:r>
        <w:t>kázky</w:t>
      </w:r>
      <w:proofErr w:type="spellEnd"/>
      <w:r>
        <w:t xml:space="preserve">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48793D">
        <w:t xml:space="preserve">    </w:t>
      </w:r>
      <w:r w:rsidR="00AA7488" w:rsidRPr="00AA7488">
        <w:rPr>
          <w:b/>
        </w:rPr>
        <w:t>„GSM-R + ETCS Hranice na Moravě – Horní Lideč - Střelná</w:t>
      </w:r>
      <w:r w:rsidRPr="00AA7488">
        <w:rPr>
          <w:b/>
        </w:rPr>
        <w:t>"</w:t>
      </w:r>
      <w:r w:rsidR="00AA7488">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Default="003F0FD2" w:rsidP="003F0FD2">
      <w:pPr>
        <w:pStyle w:val="Text1-1"/>
      </w:pPr>
      <w:r>
        <w:t xml:space="preserve">Objednatel si vyhrazuje právo odstoupit od Smlouvy kromě důvodů uvedených v Obchodních podmínkách též po skončení </w:t>
      </w:r>
      <w:r w:rsidR="00EE3349">
        <w:t>2.</w:t>
      </w:r>
      <w:r>
        <w:t xml:space="preserve"> Dílčí etapy v případě neschválení Záměru projektu. </w:t>
      </w:r>
    </w:p>
    <w:p w:rsidR="003F0FD2" w:rsidRDefault="003F0FD2" w:rsidP="003F0FD2">
      <w:pPr>
        <w:pStyle w:val="Text1-2"/>
      </w:pPr>
      <w:r>
        <w:t xml:space="preserve">Objednatel sdělí Zhotoviteli do 30 dnů od oboustranného podpisu předávacího protokolu ke </w:t>
      </w:r>
      <w:r w:rsidR="00C32CC8">
        <w:t xml:space="preserve">2. </w:t>
      </w:r>
      <w:r>
        <w:t>Dílčí etapě,</w:t>
      </w:r>
    </w:p>
    <w:p w:rsidR="003F0FD2" w:rsidRDefault="003F0FD2" w:rsidP="003F0FD2">
      <w:pPr>
        <w:pStyle w:val="Odrka1-3"/>
      </w:pPr>
      <w:r>
        <w:t>zda požaduje zapracovat do Záměru projektu změny nebo</w:t>
      </w:r>
    </w:p>
    <w:p w:rsidR="003F0FD2" w:rsidRDefault="003F0FD2" w:rsidP="003F0FD2">
      <w:pPr>
        <w:pStyle w:val="Odrka1-3"/>
      </w:pPr>
      <w:r>
        <w:t>zda odstupuje od Smlouvy nebo</w:t>
      </w:r>
    </w:p>
    <w:p w:rsidR="003F0FD2" w:rsidRDefault="003F0FD2" w:rsidP="003F0FD2">
      <w:pPr>
        <w:pStyle w:val="Odrka1-3"/>
      </w:pPr>
      <w:r>
        <w:t>zda předává Záměr projektu k posouzení Ministerstvu dopravy.</w:t>
      </w:r>
    </w:p>
    <w:p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rsidR="003F0FD2" w:rsidRDefault="003F0FD2" w:rsidP="003F0FD2">
      <w:pPr>
        <w:pStyle w:val="Text1-2"/>
      </w:pPr>
      <w:r>
        <w:t xml:space="preserve">Účinky odstoupení od Smlouvy nastanou v obou případech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5354DD" w:rsidRDefault="003F0FD2" w:rsidP="005354DD">
      <w:pPr>
        <w:pStyle w:val="Text1-1"/>
        <w:numPr>
          <w:ilvl w:val="1"/>
          <w:numId w:val="9"/>
        </w:numPr>
      </w:pPr>
      <w:r>
        <w:t xml:space="preserve">Místem plnění Díla je: </w:t>
      </w:r>
      <w:r w:rsidR="005354DD" w:rsidRPr="00C539CB">
        <w:t>Stavební správa</w:t>
      </w:r>
      <w:r w:rsidR="005354DD">
        <w:t xml:space="preserve"> západ, </w:t>
      </w:r>
      <w:r w:rsidR="005354DD" w:rsidRPr="007D75E5">
        <w:t>Sokolovská 278/1955, 190 00 Praha 9</w:t>
      </w:r>
      <w:r w:rsidR="005354DD">
        <w:t>.</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w:t>
      </w:r>
      <w:r>
        <w:lastRenderedPageBreak/>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Obchodní podmínky OP/ZP+DUR/</w:t>
      </w:r>
      <w:r w:rsidR="005354DD">
        <w:t>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5354DD">
        <w:t>VTP/ZP+DUR/13/20</w:t>
      </w:r>
      <w:r>
        <w:t xml:space="preserve"> </w:t>
      </w:r>
    </w:p>
    <w:p w:rsidR="00930F78" w:rsidRDefault="00930F78" w:rsidP="00930F78">
      <w:pPr>
        <w:pStyle w:val="Textbezslovn"/>
        <w:tabs>
          <w:tab w:val="left" w:pos="2127"/>
        </w:tabs>
        <w:spacing w:after="0"/>
        <w:ind w:left="3687" w:hanging="1560"/>
      </w:pPr>
      <w:r>
        <w:t xml:space="preserve">c) Zvláštní technické podmínky </w:t>
      </w:r>
      <w:r w:rsidR="005354DD">
        <w:t xml:space="preserve">ze dne </w:t>
      </w:r>
      <w:proofErr w:type="gramStart"/>
      <w:r w:rsidR="005354DD">
        <w:t>24.08.2020</w:t>
      </w:r>
      <w:proofErr w:type="gramEnd"/>
      <w:r>
        <w:t xml:space="preserve">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3F0FD2" w:rsidRPr="00930F78" w:rsidRDefault="006904B9" w:rsidP="00930F78">
      <w:pPr>
        <w:pStyle w:val="Bezmezer"/>
        <w:rPr>
          <w:rStyle w:val="Tun"/>
        </w:rPr>
      </w:pPr>
      <w:r>
        <w:rPr>
          <w:rStyle w:val="Tun"/>
        </w:rPr>
        <w:t>Ing. 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Pr="003348F5" w:rsidRDefault="003F0FD2" w:rsidP="00930F78">
      <w:pPr>
        <w:pStyle w:val="Bezmezer"/>
      </w:pPr>
      <w:r w:rsidRPr="003348F5">
        <w:t>Správa</w:t>
      </w:r>
      <w:r w:rsidR="000509D4" w:rsidRPr="003348F5">
        <w:t xml:space="preserve"> železnic</w:t>
      </w:r>
      <w:r w:rsidRPr="003348F5">
        <w:t>, státní organizace</w:t>
      </w:r>
    </w:p>
    <w:p w:rsidR="003F0FD2" w:rsidRPr="003348F5" w:rsidRDefault="006904B9" w:rsidP="00B42F40">
      <w:pPr>
        <w:pStyle w:val="Textbezodsazen"/>
      </w:pPr>
      <w:r>
        <w:t>ředitel Stavební správy západ</w:t>
      </w: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r w:rsidR="0048793D">
        <w:t xml:space="preserve"> </w:t>
      </w:r>
      <w:r w:rsidR="0048793D" w:rsidRPr="0048793D">
        <w:rPr>
          <w:highlight w:val="yellow"/>
        </w:rPr>
        <w:t>Specifikace Díla</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 xml:space="preserve">Předmětem díla je zpracování záměru projektu a dokumentace pro územní řízení včetně získání potřebných územních rozhodnutí a zpracování žádosti pro spolufinancování z prostředků EU – OPD pro Evropský vlakový zabezpečovač ETCS v rozsahu podle Směrnice Ministerstva dopravy </w:t>
      </w:r>
      <w:proofErr w:type="gramStart"/>
      <w:r w:rsidRPr="00FC3068">
        <w:rPr>
          <w:rFonts w:asciiTheme="minorHAnsi" w:hAnsiTheme="minorHAnsi"/>
        </w:rPr>
        <w:t>č.j.</w:t>
      </w:r>
      <w:proofErr w:type="gramEnd"/>
      <w:r w:rsidRPr="00FC3068">
        <w:rPr>
          <w:rFonts w:asciiTheme="minorHAnsi" w:hAnsiTheme="minorHAnsi"/>
        </w:rPr>
        <w:t xml:space="preserve"> 644/2012-910-IKP/13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změna č.4 ze dne 15.9.2015 a směrnice SŽDC č. 11/2006 „Dokumentace pro přípravu staveb na železničních drahách celostátních a regionálních“, v platném znění. Dále také zpracování dokumentace pro pokračování výstavby stacionární části digitálního rádiového systému GSM-R v potřebném rozsahu a kvalitě dle čl. 4.2.5 a 4.2.6 Směrnice SŽDC č. 35 (kterou se stanovují technické specifikace vlakových rádiových zařízení a zásady pro jejich přípravu a realizaci na železniční dopravní cestě ve vlastnictví státu) na železničních tratích:</w:t>
      </w:r>
    </w:p>
    <w:p w:rsidR="00C32CC8" w:rsidRPr="00FC3068" w:rsidRDefault="00C32CC8" w:rsidP="00C32CC8">
      <w:pPr>
        <w:pStyle w:val="Text2-1"/>
        <w:numPr>
          <w:ilvl w:val="0"/>
          <w:numId w:val="47"/>
        </w:numPr>
        <w:rPr>
          <w:rFonts w:asciiTheme="minorHAnsi" w:hAnsiTheme="minorHAnsi"/>
        </w:rPr>
      </w:pPr>
      <w:r w:rsidRPr="00FC3068">
        <w:rPr>
          <w:rFonts w:asciiTheme="minorHAnsi" w:hAnsiTheme="minorHAnsi"/>
        </w:rPr>
        <w:t>280: Hranice na Moravě – Horní Lideč – Horní Lideč státní hranice – St. hranice CZ/SK – (</w:t>
      </w:r>
      <w:proofErr w:type="spellStart"/>
      <w:r w:rsidRPr="00FC3068">
        <w:rPr>
          <w:rFonts w:asciiTheme="minorHAnsi" w:hAnsiTheme="minorHAnsi"/>
        </w:rPr>
        <w:t>Lúky</w:t>
      </w:r>
      <w:proofErr w:type="spellEnd"/>
      <w:r w:rsidRPr="00FC3068">
        <w:rPr>
          <w:rFonts w:asciiTheme="minorHAnsi" w:hAnsiTheme="minorHAnsi"/>
        </w:rPr>
        <w:t xml:space="preserve"> pod </w:t>
      </w:r>
      <w:proofErr w:type="spellStart"/>
      <w:r w:rsidRPr="00FC3068">
        <w:rPr>
          <w:rFonts w:asciiTheme="minorHAnsi" w:hAnsiTheme="minorHAnsi"/>
        </w:rPr>
        <w:t>Makytou</w:t>
      </w:r>
      <w:proofErr w:type="spellEnd"/>
      <w:r w:rsidRPr="00FC3068">
        <w:rPr>
          <w:rFonts w:asciiTheme="minorHAnsi" w:hAnsiTheme="minorHAnsi"/>
        </w:rPr>
        <w:t>)</w:t>
      </w:r>
      <w:r>
        <w:rPr>
          <w:rFonts w:asciiTheme="minorHAnsi" w:hAnsiTheme="minorHAnsi"/>
        </w:rPr>
        <w:t xml:space="preserve"> - </w:t>
      </w:r>
      <w:r w:rsidRPr="00FC3068">
        <w:rPr>
          <w:rFonts w:asciiTheme="minorHAnsi" w:hAnsiTheme="minorHAnsi"/>
        </w:rPr>
        <w:t>trať TEN-T</w:t>
      </w:r>
    </w:p>
    <w:p w:rsidR="00C32CC8" w:rsidRDefault="00C32CC8" w:rsidP="00C32CC8">
      <w:pPr>
        <w:pStyle w:val="Text2-1"/>
        <w:numPr>
          <w:ilvl w:val="1"/>
          <w:numId w:val="47"/>
        </w:numPr>
        <w:spacing w:line="240" w:lineRule="auto"/>
        <w:rPr>
          <w:rFonts w:asciiTheme="minorHAnsi" w:hAnsiTheme="minorHAnsi"/>
        </w:rPr>
      </w:pPr>
      <w:r w:rsidRPr="00FC3068">
        <w:rPr>
          <w:rFonts w:asciiTheme="minorHAnsi" w:hAnsiTheme="minorHAnsi"/>
        </w:rPr>
        <w:t>308 (308-): Hranice na Moravě – Horní Lideč – Horní Lideč státní hranice – St. hranice CZ/SK</w:t>
      </w:r>
    </w:p>
    <w:p w:rsidR="00C32CC8" w:rsidRPr="00BC3610" w:rsidRDefault="00C32CC8" w:rsidP="00C32CC8">
      <w:pPr>
        <w:numPr>
          <w:ilvl w:val="0"/>
          <w:numId w:val="47"/>
        </w:numPr>
        <w:spacing w:after="120" w:line="264" w:lineRule="auto"/>
        <w:jc w:val="both"/>
        <w:rPr>
          <w:rFonts w:asciiTheme="minorHAnsi" w:hAnsiTheme="minorHAnsi"/>
          <w:sz w:val="18"/>
          <w:szCs w:val="18"/>
        </w:rPr>
      </w:pPr>
      <w:r w:rsidRPr="00BC3610">
        <w:rPr>
          <w:rFonts w:asciiTheme="minorHAnsi" w:hAnsiTheme="minorHAnsi"/>
          <w:sz w:val="18"/>
          <w:szCs w:val="18"/>
        </w:rPr>
        <w:t>282: Vsetín – Velké Karlovice (dráha regionální)</w:t>
      </w:r>
    </w:p>
    <w:p w:rsidR="00C32CC8" w:rsidRPr="00BC3610" w:rsidRDefault="00C32CC8" w:rsidP="00C32CC8">
      <w:pPr>
        <w:pStyle w:val="Text2-1"/>
        <w:numPr>
          <w:ilvl w:val="1"/>
          <w:numId w:val="47"/>
        </w:numPr>
        <w:spacing w:line="240" w:lineRule="auto"/>
        <w:rPr>
          <w:rFonts w:asciiTheme="minorHAnsi" w:hAnsiTheme="minorHAnsi"/>
        </w:rPr>
      </w:pPr>
      <w:r w:rsidRPr="00BC3610">
        <w:rPr>
          <w:rFonts w:asciiTheme="minorHAnsi" w:hAnsiTheme="minorHAnsi"/>
        </w:rPr>
        <w:t>826 (304D): Vsetín-Bečva – Velké Karlovice</w:t>
      </w:r>
    </w:p>
    <w:p w:rsidR="00C32CC8" w:rsidRPr="00FC3068" w:rsidRDefault="00C32CC8" w:rsidP="00C32CC8">
      <w:pPr>
        <w:pStyle w:val="Text2-1"/>
        <w:numPr>
          <w:ilvl w:val="0"/>
          <w:numId w:val="0"/>
        </w:numPr>
        <w:ind w:left="1418"/>
        <w:rPr>
          <w:rFonts w:asciiTheme="minorHAnsi" w:hAnsiTheme="minorHAnsi"/>
        </w:rPr>
      </w:pPr>
      <w:r w:rsidRPr="00FC3068">
        <w:rPr>
          <w:rFonts w:asciiTheme="minorHAnsi" w:hAnsiTheme="minorHAnsi"/>
        </w:rPr>
        <w:t>Pokrytí tratě signálem GSM-R dle posledního odstavce čl. 4.2.5 Směrnice SŽDC č. 35 se považuje pokrýt vstup do oblastí také z tratí:</w:t>
      </w:r>
    </w:p>
    <w:p w:rsidR="00C32CC8" w:rsidRPr="00FC3068" w:rsidRDefault="00C32CC8" w:rsidP="00C32CC8">
      <w:pPr>
        <w:pStyle w:val="Text2-1"/>
        <w:numPr>
          <w:ilvl w:val="0"/>
          <w:numId w:val="47"/>
        </w:numPr>
        <w:spacing w:line="240" w:lineRule="auto"/>
        <w:ind w:hanging="357"/>
        <w:rPr>
          <w:rFonts w:asciiTheme="minorHAnsi" w:hAnsiTheme="minorHAnsi"/>
        </w:rPr>
      </w:pPr>
      <w:r w:rsidRPr="00FC3068">
        <w:rPr>
          <w:rFonts w:asciiTheme="minorHAnsi" w:hAnsiTheme="minorHAnsi"/>
        </w:rPr>
        <w:t>281: Valašské Meziříčí – Rožnov pod Radhoštěm (dráha regionální)</w:t>
      </w:r>
    </w:p>
    <w:p w:rsidR="00C32CC8" w:rsidRPr="00FC3068" w:rsidRDefault="00C32CC8" w:rsidP="00C32CC8">
      <w:pPr>
        <w:pStyle w:val="Text2-1"/>
        <w:numPr>
          <w:ilvl w:val="1"/>
          <w:numId w:val="47"/>
        </w:numPr>
        <w:spacing w:line="240" w:lineRule="auto"/>
        <w:ind w:hanging="357"/>
        <w:rPr>
          <w:rFonts w:asciiTheme="minorHAnsi" w:hAnsiTheme="minorHAnsi"/>
        </w:rPr>
      </w:pPr>
      <w:r w:rsidRPr="00FC3068">
        <w:rPr>
          <w:rFonts w:asciiTheme="minorHAnsi" w:hAnsiTheme="minorHAnsi"/>
        </w:rPr>
        <w:t>824 (304G): Valašské Meziříčí – Rožnov pod Radhoštěm</w:t>
      </w:r>
    </w:p>
    <w:p w:rsidR="00C32CC8" w:rsidRPr="00FC3068" w:rsidRDefault="00C32CC8" w:rsidP="00C32CC8">
      <w:pPr>
        <w:pStyle w:val="Text2-1"/>
        <w:numPr>
          <w:ilvl w:val="0"/>
          <w:numId w:val="47"/>
        </w:numPr>
        <w:spacing w:line="240" w:lineRule="auto"/>
        <w:rPr>
          <w:rFonts w:asciiTheme="minorHAnsi" w:hAnsiTheme="minorHAnsi"/>
        </w:rPr>
      </w:pPr>
      <w:r w:rsidRPr="00FC3068">
        <w:rPr>
          <w:rFonts w:asciiTheme="minorHAnsi" w:hAnsiTheme="minorHAnsi"/>
        </w:rPr>
        <w:t>303: Kojetín – Valašské Meziříčí (dráha regionální)</w:t>
      </w:r>
    </w:p>
    <w:p w:rsidR="00C32CC8" w:rsidRPr="00FC3068" w:rsidRDefault="00C32CC8" w:rsidP="00C32CC8">
      <w:pPr>
        <w:pStyle w:val="Text2-1"/>
        <w:numPr>
          <w:ilvl w:val="1"/>
          <w:numId w:val="47"/>
        </w:numPr>
        <w:spacing w:line="240" w:lineRule="auto"/>
        <w:rPr>
          <w:rFonts w:asciiTheme="minorHAnsi" w:hAnsiTheme="minorHAnsi"/>
        </w:rPr>
      </w:pPr>
      <w:r w:rsidRPr="00FC3068">
        <w:rPr>
          <w:rFonts w:asciiTheme="minorHAnsi" w:hAnsiTheme="minorHAnsi"/>
        </w:rPr>
        <w:t>821 (304A): Kojetín – Kroměříž – Hulín - Valašské Meziříčí (dráha regionální)</w:t>
      </w:r>
    </w:p>
    <w:p w:rsidR="00C32CC8" w:rsidRPr="00FC3068" w:rsidRDefault="00C32CC8" w:rsidP="00C32CC8">
      <w:pPr>
        <w:pStyle w:val="Text2-1"/>
        <w:numPr>
          <w:ilvl w:val="0"/>
          <w:numId w:val="47"/>
        </w:numPr>
        <w:spacing w:line="240" w:lineRule="auto"/>
        <w:rPr>
          <w:rFonts w:asciiTheme="minorHAnsi" w:hAnsiTheme="minorHAnsi"/>
        </w:rPr>
      </w:pPr>
      <w:r w:rsidRPr="00FC3068">
        <w:rPr>
          <w:rFonts w:asciiTheme="minorHAnsi" w:hAnsiTheme="minorHAnsi"/>
        </w:rPr>
        <w:t>323: Ostrava – Valašské Meziříčí, Frýdlant nad Ostravicí – Ostravice (dráha regionální)</w:t>
      </w:r>
    </w:p>
    <w:p w:rsidR="00C32CC8" w:rsidRPr="00FC3068" w:rsidRDefault="00C32CC8" w:rsidP="00C32CC8">
      <w:pPr>
        <w:pStyle w:val="Text2-1"/>
        <w:numPr>
          <w:ilvl w:val="1"/>
          <w:numId w:val="47"/>
        </w:numPr>
        <w:spacing w:line="240" w:lineRule="auto"/>
        <w:rPr>
          <w:rFonts w:asciiTheme="minorHAnsi" w:hAnsiTheme="minorHAnsi"/>
        </w:rPr>
      </w:pPr>
      <w:r w:rsidRPr="00FC3068">
        <w:rPr>
          <w:rFonts w:asciiTheme="minorHAnsi" w:hAnsiTheme="minorHAnsi"/>
        </w:rPr>
        <w:t>823 (302A): Kunčice – Frýdek-Místek – Frýdlant nad Ostravicí – Veřovice - Valašské Meziříčí, Frýdek-Místek – Český Těšín, Frýdlant nad Ostravicí - Ostravice</w:t>
      </w:r>
    </w:p>
    <w:p w:rsidR="00C32CC8" w:rsidRPr="00FC3068" w:rsidRDefault="00C32CC8" w:rsidP="00C32CC8">
      <w:pPr>
        <w:pStyle w:val="Text2-1"/>
        <w:numPr>
          <w:ilvl w:val="0"/>
          <w:numId w:val="47"/>
        </w:numPr>
        <w:spacing w:line="240" w:lineRule="auto"/>
        <w:rPr>
          <w:rFonts w:asciiTheme="minorHAnsi" w:hAnsiTheme="minorHAnsi"/>
        </w:rPr>
      </w:pPr>
      <w:r w:rsidRPr="00FC3068">
        <w:rPr>
          <w:rFonts w:asciiTheme="minorHAnsi" w:hAnsiTheme="minorHAnsi"/>
        </w:rPr>
        <w:t xml:space="preserve">283: Horní Lideč – Bylnice (dříve trať 28c, od roku 2019/2020 součástí tratě 280) </w:t>
      </w:r>
      <w:r>
        <w:rPr>
          <w:rFonts w:asciiTheme="minorHAnsi" w:hAnsiTheme="minorHAnsi"/>
        </w:rPr>
        <w:t xml:space="preserve">- </w:t>
      </w:r>
      <w:r w:rsidRPr="00FC3068">
        <w:rPr>
          <w:rFonts w:asciiTheme="minorHAnsi" w:hAnsiTheme="minorHAnsi"/>
        </w:rPr>
        <w:t>dráha regionální</w:t>
      </w:r>
    </w:p>
    <w:p w:rsidR="00C32CC8" w:rsidRPr="00FC3068" w:rsidRDefault="00C32CC8" w:rsidP="00C32CC8">
      <w:pPr>
        <w:pStyle w:val="Text2-1"/>
        <w:numPr>
          <w:ilvl w:val="1"/>
          <w:numId w:val="47"/>
        </w:numPr>
        <w:spacing w:line="240" w:lineRule="auto"/>
        <w:rPr>
          <w:rFonts w:asciiTheme="minorHAnsi" w:hAnsiTheme="minorHAnsi"/>
        </w:rPr>
      </w:pPr>
      <w:r w:rsidRPr="00FC3068">
        <w:rPr>
          <w:rFonts w:asciiTheme="minorHAnsi" w:hAnsiTheme="minorHAnsi"/>
        </w:rPr>
        <w:t>827 (304C): Horní Lideč - Bylnice.</w:t>
      </w:r>
    </w:p>
    <w:p w:rsidR="00C32CC8" w:rsidRPr="00BC3610" w:rsidRDefault="00C32CC8" w:rsidP="00C32CC8">
      <w:pPr>
        <w:pStyle w:val="Text2-1"/>
        <w:numPr>
          <w:ilvl w:val="2"/>
          <w:numId w:val="48"/>
        </w:numPr>
      </w:pPr>
      <w:r w:rsidRPr="00BC3610">
        <w:t xml:space="preserve">Dokumentace pro územní řízení (DUR) bude řešit výstavbu rádiového systému GSM-R a pokrytí rádiovým signálem tohoto systému traťových úseků Hranice na Moravě – Horní Lideč – Střelná -st. hranice s nezbytným přesahem na území Slovenské republiky pro zajištění vstupu do oblasti ETCS úrovně 2 již od její vstupní hranice a výstavbu radiového systému GSM-R </w:t>
      </w:r>
      <w:r w:rsidRPr="00BC3610">
        <w:rPr>
          <w:rFonts w:asciiTheme="minorHAnsi" w:hAnsiTheme="minorHAnsi"/>
        </w:rPr>
        <w:t>a pokrytí rádiovým signálem tohoto systému traťového úseku Vsetín-Bečva – Velké Karlovice</w:t>
      </w:r>
      <w:r w:rsidRPr="00BC3610">
        <w:t>.</w:t>
      </w:r>
    </w:p>
    <w:p w:rsidR="00C32CC8" w:rsidRPr="00FC3068" w:rsidRDefault="00C32CC8" w:rsidP="0048793D">
      <w:pPr>
        <w:pStyle w:val="Text2-1"/>
        <w:numPr>
          <w:ilvl w:val="2"/>
          <w:numId w:val="48"/>
        </w:numPr>
        <w:rPr>
          <w:rFonts w:asciiTheme="minorHAnsi" w:hAnsiTheme="minorHAnsi"/>
        </w:rPr>
      </w:pPr>
      <w:r w:rsidRPr="00FC3068">
        <w:rPr>
          <w:rFonts w:asciiTheme="minorHAnsi" w:hAnsiTheme="minorHAnsi"/>
        </w:rPr>
        <w:t xml:space="preserve">Dokumentace pro územní řízení bude zpracována v souladu se všeobecnými technickými podmínkami </w:t>
      </w:r>
      <w:r w:rsidR="0048793D" w:rsidRPr="0048793D">
        <w:rPr>
          <w:rFonts w:asciiTheme="minorHAnsi" w:hAnsiTheme="minorHAnsi"/>
          <w:highlight w:val="yellow"/>
        </w:rPr>
        <w:t>VTP/ZP+DUR/13/20</w:t>
      </w:r>
      <w:r w:rsidR="0048793D" w:rsidRPr="0048793D">
        <w:rPr>
          <w:rFonts w:asciiTheme="minorHAnsi" w:hAnsiTheme="minorHAnsi"/>
        </w:rPr>
        <w:t xml:space="preserve"> </w:t>
      </w:r>
      <w:r w:rsidRPr="00FC3068">
        <w:rPr>
          <w:rFonts w:asciiTheme="minorHAnsi" w:hAnsiTheme="minorHAnsi"/>
        </w:rPr>
        <w:t>s následujícími upřesněními.</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 xml:space="preserve">Ve všech úsecích stavby se požaduje přednostně využít optických kabelů (vláken) v majetku SŽ. Jedná se o optické kabely stávající nebo realizované v souběžných stavbách SŽ. V úsecích, kde nebude možné využít žádnou z uvedených možností, bude navržena nová optická trasa. </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Součástí dokumentace pro územní řízení je návrh slaboproudých, silnoproudých a optických přípojek jednotlivých BTS.</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lastRenderedPageBreak/>
        <w:t>Dále bude prověřeno zaústění vleček do výše uvedených tratí, tedy zda z nich přímo projíždějí vlaky na síť ve správě SŽ (tj. bez zastavení ve stanicích SŽ).</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 xml:space="preserve">Pro zajištění automatických vstupů pro ETCS z přípojných tratí je nutné zajistit pokrytí těchto přípojných úseků signálem GSM-R včetně nezbytné úpravy centrální části. </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 xml:space="preserve">V rámci dokumentace pro územní řízení bude zajištěno provedení všech potřebných průzkumů a měření v rozsahu nutném pro návrh technického řešení a stanovení investičních nákladů stavby a získání všech potřebných územních rozhodnutí. Koncepčním podkladem pro řešení předmětného úseku je zpracovaná „Studie proveditelnosti GSM-R pro síť celostátních drah ČR“ zpracovaná SUDOP PRAHA a.s. v 06/2006 a aktualizovaná 06/2008, 01/2010 a 06/2013 a Národní implementační plán ERTMS schválený dne </w:t>
      </w:r>
      <w:proofErr w:type="gramStart"/>
      <w:r w:rsidRPr="00FC3068">
        <w:rPr>
          <w:rFonts w:asciiTheme="minorHAnsi" w:hAnsiTheme="minorHAnsi"/>
        </w:rPr>
        <w:t>29.08.2017</w:t>
      </w:r>
      <w:proofErr w:type="gramEnd"/>
      <w:r w:rsidRPr="00FC3068">
        <w:rPr>
          <w:rFonts w:asciiTheme="minorHAnsi" w:hAnsiTheme="minorHAnsi"/>
        </w:rPr>
        <w:t>.</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Dokumentace pro územní řízení musí obsahovat kompletní aktuální rádiové plánování pro síť GSM-R v uvedených traťových úsecích.</w:t>
      </w:r>
    </w:p>
    <w:p w:rsidR="00C32CC8" w:rsidRPr="00FC3068" w:rsidRDefault="00C32CC8" w:rsidP="00C32CC8">
      <w:pPr>
        <w:pStyle w:val="Text2-1"/>
        <w:numPr>
          <w:ilvl w:val="2"/>
          <w:numId w:val="48"/>
        </w:numPr>
        <w:rPr>
          <w:rFonts w:asciiTheme="minorHAnsi" w:hAnsiTheme="minorHAnsi"/>
        </w:rPr>
      </w:pPr>
      <w:r w:rsidRPr="00FC3068">
        <w:rPr>
          <w:rFonts w:asciiTheme="minorHAnsi" w:hAnsiTheme="minorHAnsi"/>
        </w:rPr>
        <w:t xml:space="preserve">Předmětem plnění veřejné zakázky je rovněž zpracování projektové žádosti o spolufinancování z Fondu soudržnosti v rámci OPD. Projektová žádost bude vypracována včetně všech příloh dle pokynů MD ČR, které jsou k dispozici na internetových stránkách </w:t>
      </w:r>
      <w:hyperlink r:id="rId15" w:history="1">
        <w:r w:rsidRPr="00FC3068">
          <w:rPr>
            <w:rStyle w:val="Hypertextovodkaz"/>
            <w:rFonts w:asciiTheme="minorHAnsi" w:hAnsiTheme="minorHAnsi"/>
            <w:noProof w:val="0"/>
            <w:color w:val="auto"/>
            <w:u w:val="none"/>
          </w:rPr>
          <w:t>www.OPD.cz</w:t>
        </w:r>
      </w:hyperlink>
      <w:r w:rsidRPr="00FC3068">
        <w:rPr>
          <w:rFonts w:asciiTheme="minorHAnsi" w:hAnsiTheme="minorHAnsi"/>
        </w:rPr>
        <w:t xml:space="preserve">. Příloha „Projektové </w:t>
      </w:r>
      <w:proofErr w:type="spellStart"/>
      <w:r w:rsidRPr="00FC3068">
        <w:rPr>
          <w:rFonts w:asciiTheme="minorHAnsi" w:hAnsiTheme="minorHAnsi"/>
        </w:rPr>
        <w:t>fiše</w:t>
      </w:r>
      <w:proofErr w:type="spellEnd"/>
      <w:r w:rsidRPr="00FC3068">
        <w:rPr>
          <w:rFonts w:asciiTheme="minorHAnsi" w:hAnsiTheme="minorHAnsi"/>
        </w:rPr>
        <w:t xml:space="preserve">“ bude zpracována v anglickém jazyce. Všechny přílohy, které byly doručeny datovou cestou, budou ověřeny. Přílohou bude i celková situace v měřítku 1:50 000 nebo až 1:100 000. Přílohy budou odděleny barevnými listy a forma výtisku bude v kroužkové vazbě s průsvitnou přední stranou a poslední stranou z tvrdého papíru. </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5354DD" w:rsidP="00AB4F25">
      <w:pPr>
        <w:pStyle w:val="Textbezodsazen"/>
      </w:pPr>
      <w:r>
        <w:t>OP/ZP+DUR/14/20</w:t>
      </w: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5354DD" w:rsidP="004F0093">
      <w:pPr>
        <w:pStyle w:val="Textbezslovn"/>
      </w:pPr>
      <w:r>
        <w:t>VTP/ZP+DUR/13/20</w:t>
      </w:r>
      <w:r w:rsidR="004F0093">
        <w:t xml:space="preserve"> </w:t>
      </w:r>
    </w:p>
    <w:p w:rsidR="004F0093" w:rsidRDefault="004F0093" w:rsidP="004F0093">
      <w:pPr>
        <w:pStyle w:val="Textbezslovn"/>
      </w:pPr>
    </w:p>
    <w:p w:rsidR="004F0093" w:rsidRDefault="004F0093" w:rsidP="004F0093">
      <w:pPr>
        <w:pStyle w:val="Nadpisbezsl1-2"/>
      </w:pPr>
      <w:r>
        <w:t>c)</w:t>
      </w:r>
      <w:r>
        <w:tab/>
        <w:t xml:space="preserve">Zvláštní technické podmínky </w:t>
      </w:r>
    </w:p>
    <w:p w:rsidR="004F0093" w:rsidRDefault="005354DD" w:rsidP="004F0093">
      <w:pPr>
        <w:pStyle w:val="Textbezslovn"/>
        <w:jc w:val="left"/>
      </w:pPr>
      <w:r>
        <w:t xml:space="preserve">ze dne </w:t>
      </w:r>
      <w:proofErr w:type="gramStart"/>
      <w:r>
        <w:t>24.08.2020</w:t>
      </w:r>
      <w:proofErr w:type="gramEnd"/>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rsidR="004F0093" w:rsidRPr="006904B9" w:rsidRDefault="004F0093" w:rsidP="004F0093">
      <w:pPr>
        <w:pStyle w:val="Nadpisbezsl1-1"/>
      </w:pPr>
      <w:r w:rsidRPr="006904B9">
        <w:lastRenderedPageBreak/>
        <w:t>Příloha č. 4</w:t>
      </w:r>
    </w:p>
    <w:p w:rsidR="004F0093" w:rsidRPr="006904B9" w:rsidRDefault="004F0093" w:rsidP="004F0093">
      <w:pPr>
        <w:pStyle w:val="Nadpisbezsl1-2"/>
      </w:pPr>
      <w:r w:rsidRPr="006904B9">
        <w:t>Rozpis Ceny Díla</w:t>
      </w:r>
    </w:p>
    <w:p w:rsidR="00110376" w:rsidRDefault="00110376" w:rsidP="00110376">
      <w:pPr>
        <w:pStyle w:val="Nadpisbezsl1-2"/>
      </w:pPr>
      <w:r w:rsidRPr="006904B9">
        <w:t>Cena Díla</w:t>
      </w:r>
    </w:p>
    <w:p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z toho: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w:t>
            </w:r>
            <w:r w:rsidR="00740EE9">
              <w:t>zpracování Dokumentace pro územní řízení</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1309A"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21309A" w:rsidRPr="00740EE9" w:rsidRDefault="0021309A" w:rsidP="0021309A">
            <w:pPr>
              <w:pStyle w:val="Tabulka-9"/>
              <w:rPr>
                <w:rStyle w:val="Tun"/>
                <w:highlight w:val="yellow"/>
              </w:rPr>
            </w:pPr>
            <w:r w:rsidRPr="00740EE9">
              <w:rPr>
                <w:rStyle w:val="Tun"/>
                <w:highlight w:val="yellow"/>
              </w:rPr>
              <w:t>1. Dílčí etapa</w:t>
            </w:r>
          </w:p>
        </w:tc>
        <w:tc>
          <w:tcPr>
            <w:tcW w:w="2977" w:type="dxa"/>
          </w:tcPr>
          <w:p w:rsidR="0021309A" w:rsidRPr="00740EE9" w:rsidRDefault="0021309A" w:rsidP="00740FB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(1. dílčí fakturace)</w:t>
            </w:r>
            <w:r w:rsidR="00740FB4">
              <w:rPr>
                <w:rStyle w:val="Tun"/>
                <w:b w:val="0"/>
                <w:highlight w:val="yellow"/>
              </w:rPr>
              <w:t xml:space="preserve"> </w:t>
            </w:r>
            <w:r>
              <w:rPr>
                <w:rStyle w:val="Tun"/>
                <w:b w:val="0"/>
                <w:highlight w:val="yellow"/>
              </w:rPr>
              <w:t xml:space="preserve"> </w:t>
            </w:r>
            <w:r w:rsidR="00740FB4">
              <w:rPr>
                <w:rStyle w:val="Tun"/>
                <w:b w:val="0"/>
                <w:highlight w:val="yellow"/>
              </w:rPr>
              <w:t>20</w:t>
            </w:r>
            <w:r>
              <w:rPr>
                <w:rStyle w:val="Tun"/>
                <w:b w:val="0"/>
                <w:highlight w:val="yellow"/>
              </w:rPr>
              <w:t>% z ceny Díla</w:t>
            </w:r>
          </w:p>
        </w:tc>
        <w:tc>
          <w:tcPr>
            <w:tcW w:w="2977" w:type="dxa"/>
          </w:tcPr>
          <w:p w:rsidR="0021309A" w:rsidRPr="00740EE9"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1309A"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21309A" w:rsidRPr="00740EE9" w:rsidRDefault="0021309A" w:rsidP="0021309A">
            <w:pPr>
              <w:pStyle w:val="Tabulka-9"/>
              <w:rPr>
                <w:rStyle w:val="Tun"/>
                <w:highlight w:val="yellow"/>
              </w:rPr>
            </w:pPr>
            <w:r w:rsidRPr="00740EE9">
              <w:rPr>
                <w:rStyle w:val="Tun"/>
                <w:highlight w:val="yellow"/>
              </w:rPr>
              <w:t>2. Dílčí etapa</w:t>
            </w:r>
          </w:p>
        </w:tc>
        <w:tc>
          <w:tcPr>
            <w:tcW w:w="2977" w:type="dxa"/>
          </w:tcPr>
          <w:p w:rsidR="0021309A"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sidR="00740FB4">
              <w:rPr>
                <w:rStyle w:val="Tun"/>
                <w:b w:val="0"/>
                <w:highlight w:val="yellow"/>
              </w:rPr>
              <w:t>2</w:t>
            </w:r>
            <w:r w:rsidR="00740FB4" w:rsidRPr="00740EE9">
              <w:rPr>
                <w:rStyle w:val="Tun"/>
                <w:b w:val="0"/>
                <w:highlight w:val="yellow"/>
              </w:rPr>
              <w:t>. dílčí fakturace</w:t>
            </w:r>
            <w:r w:rsidRPr="00740EE9">
              <w:rPr>
                <w:rStyle w:val="Tun"/>
                <w:b w:val="0"/>
                <w:highlight w:val="yellow"/>
              </w:rPr>
              <w:t>)</w:t>
            </w:r>
          </w:p>
          <w:p w:rsidR="0021309A" w:rsidRPr="00740EE9"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highlight w:val="yellow"/>
              </w:rPr>
              <w:t>10% z ceny Díla</w:t>
            </w:r>
          </w:p>
        </w:tc>
        <w:tc>
          <w:tcPr>
            <w:tcW w:w="2977" w:type="dxa"/>
          </w:tcPr>
          <w:p w:rsidR="0021309A" w:rsidRPr="00740EE9" w:rsidRDefault="0021309A" w:rsidP="00740FB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tc>
      </w:tr>
      <w:tr w:rsidR="0021309A"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21309A" w:rsidRPr="00740EE9" w:rsidRDefault="0021309A" w:rsidP="0021309A">
            <w:pPr>
              <w:pStyle w:val="Tabulka-9"/>
              <w:rPr>
                <w:rStyle w:val="Tun"/>
                <w:highlight w:val="yellow"/>
              </w:rPr>
            </w:pPr>
            <w:r w:rsidRPr="00740EE9">
              <w:rPr>
                <w:rStyle w:val="Tun"/>
                <w:highlight w:val="yellow"/>
              </w:rPr>
              <w:t>3. Dílčí etapa</w:t>
            </w:r>
          </w:p>
        </w:tc>
        <w:tc>
          <w:tcPr>
            <w:tcW w:w="2977" w:type="dxa"/>
          </w:tcPr>
          <w:p w:rsidR="0021309A"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sidR="00740FB4">
              <w:rPr>
                <w:rStyle w:val="Tun"/>
                <w:b w:val="0"/>
                <w:highlight w:val="yellow"/>
              </w:rPr>
              <w:t>3</w:t>
            </w:r>
            <w:r w:rsidRPr="00740EE9">
              <w:rPr>
                <w:rStyle w:val="Tun"/>
                <w:b w:val="0"/>
                <w:highlight w:val="yellow"/>
              </w:rPr>
              <w:t>. dílčí fakturace)</w:t>
            </w:r>
          </w:p>
          <w:p w:rsidR="0021309A" w:rsidRPr="00740EE9"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Pr>
                <w:rStyle w:val="Tun"/>
                <w:b w:val="0"/>
                <w:highlight w:val="yellow"/>
              </w:rPr>
              <w:t>40% z ceny Díla</w:t>
            </w:r>
          </w:p>
        </w:tc>
        <w:tc>
          <w:tcPr>
            <w:tcW w:w="2977" w:type="dxa"/>
          </w:tcPr>
          <w:p w:rsidR="0021309A" w:rsidRPr="00740EE9"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1309A"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21309A" w:rsidRPr="00740EE9" w:rsidRDefault="0021309A" w:rsidP="0021309A">
            <w:pPr>
              <w:pStyle w:val="Tabulka-9"/>
              <w:rPr>
                <w:rStyle w:val="Tun"/>
                <w:highlight w:val="yellow"/>
              </w:rPr>
            </w:pPr>
            <w:r w:rsidRPr="00740EE9">
              <w:rPr>
                <w:rStyle w:val="Tun"/>
                <w:highlight w:val="yellow"/>
              </w:rPr>
              <w:t>4. Dílčí etapa</w:t>
            </w:r>
          </w:p>
        </w:tc>
        <w:tc>
          <w:tcPr>
            <w:tcW w:w="2977" w:type="dxa"/>
          </w:tcPr>
          <w:p w:rsidR="0021309A"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sidR="00740FB4">
              <w:rPr>
                <w:rStyle w:val="Tun"/>
                <w:b w:val="0"/>
                <w:highlight w:val="yellow"/>
              </w:rPr>
              <w:t>4</w:t>
            </w:r>
            <w:r w:rsidRPr="00740EE9">
              <w:rPr>
                <w:rStyle w:val="Tun"/>
                <w:b w:val="0"/>
                <w:highlight w:val="yellow"/>
              </w:rPr>
              <w:t>. dílčí fakturace)</w:t>
            </w:r>
          </w:p>
          <w:p w:rsidR="0021309A" w:rsidRPr="00740EE9" w:rsidRDefault="00740FB4" w:rsidP="002130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b w:val="0"/>
                <w:highlight w:val="yellow"/>
              </w:rPr>
              <w:t>30</w:t>
            </w:r>
            <w:r w:rsidR="0021309A">
              <w:rPr>
                <w:rStyle w:val="Tun"/>
                <w:b w:val="0"/>
                <w:highlight w:val="yellow"/>
              </w:rPr>
              <w:t>% z ceny Díla</w:t>
            </w:r>
          </w:p>
        </w:tc>
        <w:tc>
          <w:tcPr>
            <w:tcW w:w="2977" w:type="dxa"/>
          </w:tcPr>
          <w:p w:rsidR="0021309A" w:rsidRPr="00740EE9"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1309A"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21309A" w:rsidRPr="00B72613" w:rsidRDefault="0021309A" w:rsidP="0021309A">
            <w:pPr>
              <w:pStyle w:val="Tabulka-9"/>
              <w:rPr>
                <w:rStyle w:val="Tun"/>
              </w:rPr>
            </w:pPr>
            <w:r w:rsidRPr="00B72613">
              <w:rPr>
                <w:rStyle w:val="Tun"/>
              </w:rPr>
              <w:t>Celkem:</w:t>
            </w:r>
          </w:p>
        </w:tc>
        <w:tc>
          <w:tcPr>
            <w:tcW w:w="2977" w:type="dxa"/>
          </w:tcPr>
          <w:p w:rsidR="0021309A" w:rsidRPr="00B72613"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21309A" w:rsidRPr="00B72613" w:rsidRDefault="0021309A" w:rsidP="0021309A">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86"/>
        <w:gridCol w:w="2407"/>
        <w:gridCol w:w="2271"/>
        <w:gridCol w:w="2166"/>
      </w:tblGrid>
      <w:tr w:rsidR="0021309A" w:rsidRPr="00B72613" w:rsidTr="00213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Část Díla</w:t>
            </w:r>
          </w:p>
        </w:tc>
        <w:tc>
          <w:tcPr>
            <w:tcW w:w="2407" w:type="dxa"/>
            <w:vAlign w:val="top"/>
          </w:tcPr>
          <w:p w:rsidR="0021309A" w:rsidRPr="007761CE" w:rsidRDefault="0021309A" w:rsidP="0021309A">
            <w:pPr>
              <w:cnfStyle w:val="100000000000" w:firstRow="1" w:lastRow="0" w:firstColumn="0" w:lastColumn="0" w:oddVBand="0" w:evenVBand="0" w:oddHBand="0" w:evenHBand="0" w:firstRowFirstColumn="0" w:firstRowLastColumn="0" w:lastRowFirstColumn="0" w:lastRowLastColumn="0"/>
            </w:pPr>
            <w:r w:rsidRPr="007761CE">
              <w:t>Doba plnění</w:t>
            </w:r>
          </w:p>
        </w:tc>
        <w:tc>
          <w:tcPr>
            <w:tcW w:w="2271" w:type="dxa"/>
            <w:vAlign w:val="top"/>
          </w:tcPr>
          <w:p w:rsidR="0021309A" w:rsidRPr="007761CE" w:rsidRDefault="0021309A" w:rsidP="0021309A">
            <w:pPr>
              <w:cnfStyle w:val="100000000000" w:firstRow="1" w:lastRow="0" w:firstColumn="0" w:lastColumn="0" w:oddVBand="0" w:evenVBand="0" w:oddHBand="0" w:evenHBand="0" w:firstRowFirstColumn="0" w:firstRowLastColumn="0" w:lastRowFirstColumn="0" w:lastRowLastColumn="0"/>
            </w:pPr>
            <w:r w:rsidRPr="007761CE">
              <w:t>Popis činností prováděných v Dílčí etapě</w:t>
            </w:r>
          </w:p>
        </w:tc>
        <w:tc>
          <w:tcPr>
            <w:tcW w:w="2166" w:type="dxa"/>
            <w:vAlign w:val="top"/>
          </w:tcPr>
          <w:p w:rsidR="0021309A" w:rsidRPr="007761CE" w:rsidRDefault="0021309A" w:rsidP="0021309A">
            <w:pPr>
              <w:cnfStyle w:val="100000000000" w:firstRow="1" w:lastRow="0" w:firstColumn="0" w:lastColumn="0" w:oddVBand="0" w:evenVBand="0" w:oddHBand="0" w:evenHBand="0" w:firstRowFirstColumn="0" w:firstRowLastColumn="0" w:lastRowFirstColumn="0" w:lastRowLastColumn="0"/>
            </w:pPr>
            <w:r w:rsidRPr="007761CE">
              <w:t>Podmínky dokončení Dílčí etapy</w:t>
            </w:r>
          </w:p>
        </w:tc>
      </w:tr>
      <w:tr w:rsidR="0021309A" w:rsidRPr="00926243" w:rsidTr="0021309A">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Termín zahájení prací</w:t>
            </w:r>
          </w:p>
        </w:tc>
        <w:tc>
          <w:tcPr>
            <w:tcW w:w="2407"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ihned po nabytí účinnosti Smlouvy</w:t>
            </w:r>
          </w:p>
        </w:tc>
        <w:tc>
          <w:tcPr>
            <w:tcW w:w="2271"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w:t>
            </w:r>
          </w:p>
        </w:tc>
        <w:tc>
          <w:tcPr>
            <w:tcW w:w="2166"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w:t>
            </w:r>
          </w:p>
        </w:tc>
      </w:tr>
      <w:tr w:rsidR="0021309A" w:rsidRPr="00B72613" w:rsidTr="0021309A">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1. Dílčí etapa</w:t>
            </w:r>
          </w:p>
        </w:tc>
        <w:tc>
          <w:tcPr>
            <w:tcW w:w="2407"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do 7 měsíců od nabytí účinnosti Smlouvy</w:t>
            </w:r>
          </w:p>
        </w:tc>
        <w:tc>
          <w:tcPr>
            <w:tcW w:w="2271"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Návrh technického řešení, místní šetření, projednání</w:t>
            </w:r>
          </w:p>
        </w:tc>
        <w:tc>
          <w:tcPr>
            <w:tcW w:w="2166"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Předávací protokol návrhu ZP podepsaný Zadavatelem</w:t>
            </w:r>
          </w:p>
        </w:tc>
      </w:tr>
      <w:tr w:rsidR="0021309A" w:rsidRPr="00B72613" w:rsidTr="0021309A">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2. Dílčí etapa</w:t>
            </w:r>
          </w:p>
        </w:tc>
        <w:tc>
          <w:tcPr>
            <w:tcW w:w="2407" w:type="dxa"/>
            <w:vAlign w:val="top"/>
          </w:tcPr>
          <w:p w:rsidR="0021309A" w:rsidRPr="007761CE" w:rsidRDefault="0021309A" w:rsidP="00740FB4">
            <w:pPr>
              <w:cnfStyle w:val="000000000000" w:firstRow="0" w:lastRow="0" w:firstColumn="0" w:lastColumn="0" w:oddVBand="0" w:evenVBand="0" w:oddHBand="0" w:evenHBand="0" w:firstRowFirstColumn="0" w:firstRowLastColumn="0" w:lastRowFirstColumn="0" w:lastRowLastColumn="0"/>
            </w:pPr>
            <w:r w:rsidRPr="007761CE">
              <w:t xml:space="preserve">do 13 měsíců od </w:t>
            </w:r>
            <w:r w:rsidR="00740FB4" w:rsidRPr="00740FB4">
              <w:t>nabytí účinnosti Smlouvy</w:t>
            </w:r>
          </w:p>
        </w:tc>
        <w:tc>
          <w:tcPr>
            <w:tcW w:w="2271"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Čistopis ZP</w:t>
            </w:r>
          </w:p>
        </w:tc>
        <w:tc>
          <w:tcPr>
            <w:tcW w:w="2166"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Předávací protokol podepsaný Zadavatelem</w:t>
            </w:r>
          </w:p>
        </w:tc>
      </w:tr>
      <w:tr w:rsidR="0021309A" w:rsidRPr="00B72613" w:rsidTr="0021309A">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3. Dílčí etapa</w:t>
            </w:r>
          </w:p>
        </w:tc>
        <w:tc>
          <w:tcPr>
            <w:tcW w:w="2407"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Do 6 měsíců od schválení ZP</w:t>
            </w:r>
          </w:p>
        </w:tc>
        <w:tc>
          <w:tcPr>
            <w:tcW w:w="2271"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Čistopis DUR</w:t>
            </w:r>
          </w:p>
        </w:tc>
        <w:tc>
          <w:tcPr>
            <w:tcW w:w="2166"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Předávací protokol podepsaný Zadavatelem</w:t>
            </w:r>
          </w:p>
        </w:tc>
      </w:tr>
      <w:tr w:rsidR="0021309A" w:rsidRPr="00B72613" w:rsidTr="0021309A">
        <w:tc>
          <w:tcPr>
            <w:cnfStyle w:val="001000000000" w:firstRow="0" w:lastRow="0" w:firstColumn="1" w:lastColumn="0" w:oddVBand="0" w:evenVBand="0" w:oddHBand="0" w:evenHBand="0" w:firstRowFirstColumn="0" w:firstRowLastColumn="0" w:lastRowFirstColumn="0" w:lastRowLastColumn="0"/>
            <w:tcW w:w="1886" w:type="dxa"/>
            <w:vAlign w:val="top"/>
          </w:tcPr>
          <w:p w:rsidR="0021309A" w:rsidRPr="007761CE" w:rsidRDefault="0021309A" w:rsidP="0021309A">
            <w:r w:rsidRPr="007761CE">
              <w:t>4. Dílčí etapa</w:t>
            </w:r>
          </w:p>
        </w:tc>
        <w:tc>
          <w:tcPr>
            <w:tcW w:w="2407"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do 11 měsíců od schválení ZP</w:t>
            </w:r>
          </w:p>
        </w:tc>
        <w:tc>
          <w:tcPr>
            <w:tcW w:w="2271" w:type="dxa"/>
            <w:vAlign w:val="top"/>
          </w:tcPr>
          <w:p w:rsidR="0021309A" w:rsidRPr="007761CE" w:rsidRDefault="0021309A" w:rsidP="0021309A">
            <w:pPr>
              <w:cnfStyle w:val="000000000000" w:firstRow="0" w:lastRow="0" w:firstColumn="0" w:lastColumn="0" w:oddVBand="0" w:evenVBand="0" w:oddHBand="0" w:evenHBand="0" w:firstRowFirstColumn="0" w:firstRowLastColumn="0" w:lastRowFirstColumn="0" w:lastRowLastColumn="0"/>
            </w:pPr>
            <w:r w:rsidRPr="007761CE">
              <w:t>Zajištění územního rozhodnutí a předání celého Díla</w:t>
            </w:r>
          </w:p>
        </w:tc>
        <w:tc>
          <w:tcPr>
            <w:tcW w:w="2166" w:type="dxa"/>
            <w:vAlign w:val="top"/>
          </w:tcPr>
          <w:p w:rsidR="0021309A" w:rsidRDefault="0021309A" w:rsidP="0021309A">
            <w:pPr>
              <w:cnfStyle w:val="000000000000" w:firstRow="0" w:lastRow="0" w:firstColumn="0" w:lastColumn="0" w:oddVBand="0" w:evenVBand="0" w:oddHBand="0" w:evenHBand="0" w:firstRowFirstColumn="0" w:firstRowLastColumn="0" w:lastRowFirstColumn="0" w:lastRowLastColumn="0"/>
            </w:pPr>
            <w:r w:rsidRPr="007761CE">
              <w:t>Předávací protokol podepsaný Zadavatelem</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344F6" w:rsidRDefault="002344F6" w:rsidP="002344F6">
      <w:pPr>
        <w:pStyle w:val="Textbezodsazen"/>
      </w:pPr>
    </w:p>
    <w:p w:rsidR="00380C0F" w:rsidRDefault="00380C0F" w:rsidP="002344F6">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380C0F" w:rsidRDefault="00380C0F" w:rsidP="00380C0F">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lastRenderedPageBreak/>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6904B9"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904B9" w:rsidRDefault="006904B9" w:rsidP="006904B9">
      <w:pPr>
        <w:pStyle w:val="Nadpistabulky"/>
        <w:rPr>
          <w:sz w:val="18"/>
          <w:szCs w:val="18"/>
        </w:rPr>
      </w:pPr>
    </w:p>
    <w:p w:rsidR="006904B9" w:rsidRPr="00F95FBD" w:rsidRDefault="006904B9" w:rsidP="006904B9">
      <w:pPr>
        <w:pStyle w:val="Nadpistabulky"/>
        <w:rPr>
          <w:sz w:val="18"/>
          <w:szCs w:val="18"/>
        </w:rPr>
      </w:pPr>
      <w:r>
        <w:rPr>
          <w:sz w:val="18"/>
          <w:szCs w:val="18"/>
        </w:rPr>
        <w:t>S</w:t>
      </w:r>
      <w:r w:rsidRPr="00EC707C">
        <w:rPr>
          <w:sz w:val="18"/>
          <w:szCs w:val="18"/>
        </w:rPr>
        <w:t xml:space="preserve">pecialista na </w:t>
      </w:r>
      <w:r>
        <w:rPr>
          <w:sz w:val="18"/>
          <w:szCs w:val="18"/>
        </w:rPr>
        <w:t xml:space="preserve">inženýrskou činnost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904B9" w:rsidRPr="00F95FBD" w:rsidTr="00DA6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904B9" w:rsidRPr="00F95FBD" w:rsidRDefault="006904B9" w:rsidP="00DA6F3D">
            <w:pPr>
              <w:pStyle w:val="Tabulka"/>
              <w:rPr>
                <w:rStyle w:val="Nadpisvtabulce"/>
              </w:rPr>
            </w:pPr>
            <w:r w:rsidRPr="00F95FBD">
              <w:rPr>
                <w:rStyle w:val="Nadpisvtabulce"/>
              </w:rPr>
              <w:t>Jméno a příjmení</w:t>
            </w:r>
          </w:p>
        </w:tc>
        <w:tc>
          <w:tcPr>
            <w:tcW w:w="5812" w:type="dxa"/>
            <w:shd w:val="clear" w:color="auto" w:fill="auto"/>
          </w:tcPr>
          <w:p w:rsidR="006904B9" w:rsidRPr="00F95FBD" w:rsidRDefault="006904B9" w:rsidP="00DA6F3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904B9" w:rsidRPr="00F95FBD" w:rsidTr="00DA6F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904B9" w:rsidRPr="00F95FBD" w:rsidRDefault="006904B9" w:rsidP="00DA6F3D">
            <w:pPr>
              <w:pStyle w:val="Tabulka"/>
            </w:pPr>
            <w:r w:rsidRPr="00F95FBD">
              <w:t>Adresa</w:t>
            </w:r>
          </w:p>
        </w:tc>
        <w:tc>
          <w:tcPr>
            <w:tcW w:w="5812" w:type="dxa"/>
            <w:shd w:val="clear" w:color="auto" w:fill="auto"/>
          </w:tcPr>
          <w:p w:rsidR="006904B9" w:rsidRPr="00F95FBD" w:rsidRDefault="006904B9" w:rsidP="00DA6F3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904B9" w:rsidRPr="00F95FBD" w:rsidTr="00DA6F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904B9" w:rsidRPr="00F95FBD" w:rsidRDefault="006904B9" w:rsidP="00DA6F3D">
            <w:pPr>
              <w:pStyle w:val="Tabulka"/>
            </w:pPr>
            <w:r w:rsidRPr="00F95FBD">
              <w:t>E-mail</w:t>
            </w:r>
          </w:p>
        </w:tc>
        <w:tc>
          <w:tcPr>
            <w:tcW w:w="5812" w:type="dxa"/>
            <w:shd w:val="clear" w:color="auto" w:fill="auto"/>
          </w:tcPr>
          <w:p w:rsidR="006904B9" w:rsidRPr="00F95FBD" w:rsidRDefault="006904B9" w:rsidP="00DA6F3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977D7" w:rsidRDefault="009977D7"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5354DD" w:rsidRDefault="005354DD" w:rsidP="00872362">
            <w:pPr>
              <w:pStyle w:val="Textbezodsazen"/>
              <w:jc w:val="left"/>
              <w:cnfStyle w:val="000000000000" w:firstRow="0" w:lastRow="0" w:firstColumn="0" w:lastColumn="0" w:oddVBand="0" w:evenVBand="0" w:oddHBand="0" w:evenHBand="0" w:firstRowFirstColumn="0" w:firstRowLastColumn="0" w:lastRowFirstColumn="0" w:lastRowLastColumn="0"/>
            </w:pPr>
            <w:r w:rsidRPr="005354DD">
              <w:t>16 mil. Kč bez DPH</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5354D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536724" w:rsidRDefault="002371B4" w:rsidP="00C55366">
            <w:pPr>
              <w:pStyle w:val="Tabulka"/>
              <w:jc w:val="left"/>
            </w:pPr>
            <w:r w:rsidRPr="00536724">
              <w:t xml:space="preserve">Studie proveditelnosti </w:t>
            </w:r>
            <w:r w:rsidR="00C55366" w:rsidRPr="00536724">
              <w:t>Hranice na Moravě – Horní Lideč st. hr.</w:t>
            </w:r>
          </w:p>
        </w:tc>
        <w:tc>
          <w:tcPr>
            <w:tcW w:w="3129" w:type="dxa"/>
          </w:tcPr>
          <w:p w:rsidR="00872362" w:rsidRPr="005354D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
        </w:tc>
        <w:tc>
          <w:tcPr>
            <w:tcW w:w="2957" w:type="dxa"/>
          </w:tcPr>
          <w:p w:rsidR="00872362" w:rsidRPr="005354DD"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r w:rsidRPr="00536724">
              <w:t>2019</w:t>
            </w:r>
          </w:p>
        </w:tc>
      </w:tr>
      <w:tr w:rsidR="00872362" w:rsidRPr="005354DD" w:rsidTr="002371B4">
        <w:tc>
          <w:tcPr>
            <w:cnfStyle w:val="001000000000" w:firstRow="0" w:lastRow="0" w:firstColumn="1" w:lastColumn="0" w:oddVBand="0" w:evenVBand="0" w:oddHBand="0" w:evenHBand="0" w:firstRowFirstColumn="0" w:firstRowLastColumn="0" w:lastRowFirstColumn="0" w:lastRowLastColumn="0"/>
            <w:tcW w:w="2774" w:type="dxa"/>
          </w:tcPr>
          <w:p w:rsidR="00872362" w:rsidRPr="00536724" w:rsidRDefault="002371B4" w:rsidP="002371B4">
            <w:pPr>
              <w:pStyle w:val="Tabulka"/>
              <w:jc w:val="left"/>
              <w:rPr>
                <w:rFonts w:asciiTheme="minorHAnsi" w:hAnsiTheme="minorHAnsi"/>
              </w:rPr>
            </w:pPr>
            <w:r w:rsidRPr="00536724">
              <w:rPr>
                <w:rFonts w:asciiTheme="minorHAnsi" w:hAnsiTheme="minorHAnsi"/>
              </w:rPr>
              <w:t>Technické požadavky na dokumentaci pro územní řízení pro implementaci ETCS L2 na tratích SŽDC</w:t>
            </w:r>
          </w:p>
          <w:p w:rsidR="002371B4" w:rsidRPr="00536724" w:rsidRDefault="002371B4" w:rsidP="002371B4">
            <w:pPr>
              <w:pStyle w:val="Text2-1"/>
              <w:numPr>
                <w:ilvl w:val="0"/>
                <w:numId w:val="0"/>
              </w:numPr>
              <w:spacing w:after="0"/>
              <w:jc w:val="left"/>
              <w:rPr>
                <w:rFonts w:asciiTheme="minorHAnsi" w:hAnsiTheme="minorHAnsi"/>
              </w:rPr>
            </w:pPr>
          </w:p>
          <w:p w:rsidR="002371B4" w:rsidRPr="00536724" w:rsidRDefault="002371B4" w:rsidP="002371B4">
            <w:pPr>
              <w:pStyle w:val="Text2-1"/>
              <w:numPr>
                <w:ilvl w:val="0"/>
                <w:numId w:val="0"/>
              </w:numPr>
              <w:spacing w:after="0"/>
              <w:jc w:val="left"/>
              <w:rPr>
                <w:rFonts w:asciiTheme="minorHAnsi" w:hAnsiTheme="minorHAnsi"/>
              </w:rPr>
            </w:pPr>
            <w:r w:rsidRPr="00536724">
              <w:rPr>
                <w:rFonts w:asciiTheme="minorHAnsi" w:hAnsiTheme="minorHAnsi"/>
              </w:rPr>
              <w:t>Příloha 1 – Neproměnná návěstidla</w:t>
            </w:r>
            <w:r w:rsidR="00DB2BE5" w:rsidRPr="00536724">
              <w:rPr>
                <w:rFonts w:asciiTheme="minorHAnsi" w:hAnsiTheme="minorHAnsi"/>
              </w:rPr>
              <w:t xml:space="preserve"> </w:t>
            </w:r>
            <w:r w:rsidRPr="00536724">
              <w:rPr>
                <w:rFonts w:asciiTheme="minorHAnsi" w:hAnsiTheme="minorHAnsi"/>
              </w:rPr>
              <w:t>pro provoz ETCS nad rámec ČSN EN 16494</w:t>
            </w:r>
          </w:p>
          <w:p w:rsidR="002371B4" w:rsidRPr="00536724" w:rsidRDefault="002371B4" w:rsidP="002371B4">
            <w:pPr>
              <w:pStyle w:val="Text2-1"/>
              <w:numPr>
                <w:ilvl w:val="0"/>
                <w:numId w:val="0"/>
              </w:numPr>
              <w:spacing w:after="0"/>
              <w:jc w:val="left"/>
              <w:rPr>
                <w:rFonts w:asciiTheme="minorHAnsi" w:hAnsiTheme="minorHAnsi"/>
              </w:rPr>
            </w:pPr>
          </w:p>
          <w:p w:rsidR="002371B4" w:rsidRPr="00536724" w:rsidRDefault="002371B4" w:rsidP="002371B4">
            <w:pPr>
              <w:pStyle w:val="Text2-1"/>
              <w:numPr>
                <w:ilvl w:val="0"/>
                <w:numId w:val="0"/>
              </w:numPr>
              <w:spacing w:after="0"/>
              <w:jc w:val="left"/>
              <w:rPr>
                <w:rFonts w:asciiTheme="minorHAnsi" w:hAnsiTheme="minorHAnsi"/>
              </w:rPr>
            </w:pPr>
            <w:r w:rsidRPr="00536724">
              <w:rPr>
                <w:rFonts w:asciiTheme="minorHAnsi" w:hAnsiTheme="minorHAnsi"/>
              </w:rPr>
              <w:t>Příloha 2 – Prozatímní požadavky na uplatnění uvolňovací rychlosti v ETCS úrovně 2</w:t>
            </w:r>
          </w:p>
          <w:p w:rsidR="002371B4" w:rsidRPr="00536724" w:rsidRDefault="002371B4" w:rsidP="002371B4">
            <w:pPr>
              <w:pStyle w:val="Text2-1"/>
              <w:keepNext/>
              <w:numPr>
                <w:ilvl w:val="0"/>
                <w:numId w:val="0"/>
              </w:numPr>
              <w:spacing w:after="0"/>
              <w:jc w:val="left"/>
              <w:rPr>
                <w:rFonts w:asciiTheme="minorHAnsi" w:hAnsiTheme="minorHAnsi"/>
              </w:rPr>
            </w:pPr>
          </w:p>
          <w:p w:rsidR="002371B4" w:rsidRPr="00536724" w:rsidRDefault="002371B4" w:rsidP="002371B4">
            <w:pPr>
              <w:pStyle w:val="Text2-1"/>
              <w:keepNext/>
              <w:numPr>
                <w:ilvl w:val="0"/>
                <w:numId w:val="0"/>
              </w:numPr>
              <w:spacing w:after="0"/>
              <w:jc w:val="left"/>
              <w:rPr>
                <w:rFonts w:asciiTheme="minorHAnsi" w:hAnsiTheme="minorHAnsi"/>
                <w:i/>
              </w:rPr>
            </w:pPr>
            <w:r w:rsidRPr="00536724">
              <w:rPr>
                <w:rFonts w:asciiTheme="minorHAnsi" w:hAnsiTheme="minorHAnsi"/>
                <w:i/>
              </w:rPr>
              <w:t>Přitom se příloha 2 nepoužije a místo ní se použijí:</w:t>
            </w:r>
          </w:p>
          <w:p w:rsidR="002371B4" w:rsidRPr="00536724" w:rsidRDefault="002371B4" w:rsidP="002371B4">
            <w:pPr>
              <w:pStyle w:val="Text2-1"/>
              <w:numPr>
                <w:ilvl w:val="0"/>
                <w:numId w:val="45"/>
              </w:numPr>
              <w:spacing w:after="0"/>
              <w:ind w:left="0"/>
              <w:jc w:val="left"/>
              <w:rPr>
                <w:rFonts w:asciiTheme="minorHAnsi" w:hAnsiTheme="minorHAnsi"/>
              </w:rPr>
            </w:pPr>
          </w:p>
          <w:p w:rsidR="002371B4" w:rsidRPr="00536724" w:rsidRDefault="002371B4" w:rsidP="002371B4">
            <w:pPr>
              <w:pStyle w:val="Text2-1"/>
              <w:numPr>
                <w:ilvl w:val="0"/>
                <w:numId w:val="45"/>
              </w:numPr>
              <w:spacing w:after="0"/>
              <w:ind w:left="0"/>
              <w:jc w:val="left"/>
              <w:rPr>
                <w:rFonts w:asciiTheme="minorHAnsi" w:hAnsiTheme="minorHAnsi"/>
              </w:rPr>
            </w:pPr>
            <w:r w:rsidRPr="00536724">
              <w:rPr>
                <w:rFonts w:asciiTheme="minorHAnsi" w:hAnsiTheme="minorHAnsi"/>
              </w:rPr>
              <w:t xml:space="preserve">Zásady pro návrh technického řešení ETCS ve vazbě na kolejová řešení dopraven </w:t>
            </w:r>
          </w:p>
          <w:p w:rsidR="002371B4" w:rsidRPr="00536724" w:rsidRDefault="002371B4" w:rsidP="002371B4">
            <w:pPr>
              <w:pStyle w:val="Text2-1"/>
              <w:numPr>
                <w:ilvl w:val="0"/>
                <w:numId w:val="0"/>
              </w:numPr>
              <w:spacing w:after="0"/>
              <w:ind w:left="737" w:hanging="737"/>
              <w:jc w:val="left"/>
              <w:rPr>
                <w:rFonts w:asciiTheme="minorHAnsi" w:hAnsiTheme="minorHAnsi"/>
              </w:rPr>
            </w:pPr>
          </w:p>
          <w:p w:rsidR="002371B4" w:rsidRPr="00536724" w:rsidRDefault="002371B4" w:rsidP="002371B4">
            <w:pPr>
              <w:pStyle w:val="Text2-1"/>
              <w:numPr>
                <w:ilvl w:val="0"/>
                <w:numId w:val="0"/>
              </w:numPr>
              <w:spacing w:after="0"/>
              <w:jc w:val="left"/>
              <w:rPr>
                <w:rFonts w:asciiTheme="minorHAnsi" w:hAnsiTheme="minorHAnsi"/>
              </w:rPr>
            </w:pPr>
            <w:r w:rsidRPr="00536724">
              <w:rPr>
                <w:rFonts w:asciiTheme="minorHAnsi" w:hAnsiTheme="minorHAnsi"/>
              </w:rPr>
              <w:t xml:space="preserve">Zásady pro stanovení rozsahu a výše uvolňovací rychlosti při nasazení systému ETCS na stávající infrastrukturu </w:t>
            </w:r>
          </w:p>
          <w:p w:rsidR="002371B4" w:rsidRPr="00536724" w:rsidRDefault="002371B4" w:rsidP="002371B4">
            <w:pPr>
              <w:pStyle w:val="Text2-1"/>
              <w:numPr>
                <w:ilvl w:val="0"/>
                <w:numId w:val="0"/>
              </w:numPr>
              <w:spacing w:after="0"/>
              <w:jc w:val="left"/>
              <w:rPr>
                <w:rFonts w:asciiTheme="minorHAnsi" w:hAnsiTheme="minorHAnsi"/>
              </w:rPr>
            </w:pPr>
          </w:p>
          <w:p w:rsidR="002371B4" w:rsidRPr="00536724" w:rsidRDefault="002371B4" w:rsidP="002371B4">
            <w:pPr>
              <w:pStyle w:val="Text2-1"/>
              <w:numPr>
                <w:ilvl w:val="0"/>
                <w:numId w:val="0"/>
              </w:numPr>
              <w:spacing w:after="0"/>
              <w:jc w:val="left"/>
              <w:rPr>
                <w:rFonts w:asciiTheme="minorHAnsi" w:hAnsiTheme="minorHAnsi"/>
              </w:rPr>
            </w:pPr>
            <w:r w:rsidRPr="00536724">
              <w:rPr>
                <w:rFonts w:asciiTheme="minorHAnsi" w:hAnsiTheme="minorHAnsi"/>
              </w:rPr>
              <w:t xml:space="preserve">Technické specifikace systémů, zařízení a výrobků TS 1/2019-Z Vlaková cesta s prodlouženou ochrannou dráhou </w:t>
            </w:r>
          </w:p>
          <w:p w:rsidR="002371B4" w:rsidRPr="00536724" w:rsidRDefault="002371B4" w:rsidP="002371B4">
            <w:pPr>
              <w:pStyle w:val="Text2-1"/>
              <w:numPr>
                <w:ilvl w:val="0"/>
                <w:numId w:val="0"/>
              </w:numPr>
              <w:spacing w:after="0"/>
              <w:ind w:left="737" w:hanging="737"/>
              <w:jc w:val="left"/>
              <w:rPr>
                <w:rFonts w:asciiTheme="minorHAnsi" w:hAnsiTheme="minorHAnsi"/>
              </w:rPr>
            </w:pPr>
          </w:p>
          <w:p w:rsidR="002371B4" w:rsidRPr="00536724" w:rsidRDefault="002371B4" w:rsidP="00380C0F">
            <w:pPr>
              <w:pStyle w:val="Tabulka"/>
            </w:pPr>
          </w:p>
        </w:tc>
        <w:tc>
          <w:tcPr>
            <w:tcW w:w="3129" w:type="dxa"/>
          </w:tcPr>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gramStart"/>
            <w:r w:rsidRPr="00FC3068">
              <w:rPr>
                <w:rFonts w:asciiTheme="minorHAnsi" w:hAnsiTheme="minorHAnsi"/>
              </w:rPr>
              <w:t>č.j.</w:t>
            </w:r>
            <w:proofErr w:type="gramEnd"/>
            <w:r>
              <w:rPr>
                <w:rFonts w:asciiTheme="minorHAnsi" w:hAnsiTheme="minorHAnsi"/>
              </w:rPr>
              <w:t xml:space="preserve"> </w:t>
            </w:r>
            <w:r w:rsidRPr="00FC3068">
              <w:rPr>
                <w:rFonts w:asciiTheme="minorHAnsi" w:hAnsiTheme="minorHAnsi"/>
              </w:rPr>
              <w:t>20009/2018-SŽDC-GŘ-O6</w:t>
            </w: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gramStart"/>
            <w:r w:rsidRPr="00FC3068">
              <w:rPr>
                <w:rFonts w:asciiTheme="minorHAnsi" w:hAnsiTheme="minorHAnsi"/>
              </w:rPr>
              <w:t>č.j.</w:t>
            </w:r>
            <w:proofErr w:type="gramEnd"/>
            <w:r w:rsidRPr="00FC3068">
              <w:rPr>
                <w:rFonts w:asciiTheme="minorHAnsi" w:hAnsiTheme="minorHAnsi"/>
              </w:rPr>
              <w:t xml:space="preserve"> 47270/2018-SŽDC-GŘ-</w:t>
            </w:r>
            <w:r w:rsidRPr="008C385B">
              <w:rPr>
                <w:rFonts w:asciiTheme="minorHAnsi" w:hAnsiTheme="minorHAnsi"/>
              </w:rPr>
              <w:t>O14</w:t>
            </w: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371B4"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72362" w:rsidRPr="005354DD" w:rsidRDefault="002371B4" w:rsidP="002371B4">
            <w:pPr>
              <w:pStyle w:val="Tabulka"/>
              <w:jc w:val="left"/>
              <w:cnfStyle w:val="000000000000" w:firstRow="0" w:lastRow="0" w:firstColumn="0" w:lastColumn="0" w:oddVBand="0" w:evenVBand="0" w:oddHBand="0" w:evenHBand="0" w:firstRowFirstColumn="0" w:firstRowLastColumn="0" w:lastRowFirstColumn="0" w:lastRowLastColumn="0"/>
              <w:rPr>
                <w:highlight w:val="cyan"/>
              </w:rPr>
            </w:pPr>
            <w:proofErr w:type="gramStart"/>
            <w:r>
              <w:rPr>
                <w:rFonts w:asciiTheme="minorHAnsi" w:hAnsiTheme="minorHAnsi"/>
              </w:rPr>
              <w:t>č.j.</w:t>
            </w:r>
            <w:proofErr w:type="gramEnd"/>
            <w:r>
              <w:rPr>
                <w:rFonts w:asciiTheme="minorHAnsi" w:hAnsiTheme="minorHAnsi"/>
              </w:rPr>
              <w:t xml:space="preserve"> 63349/2019-SŽDC-GŘ-O14</w:t>
            </w:r>
          </w:p>
        </w:tc>
        <w:tc>
          <w:tcPr>
            <w:tcW w:w="2957" w:type="dxa"/>
            <w:vAlign w:val="top"/>
          </w:tcPr>
          <w:p w:rsidR="002371B4"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72362" w:rsidRDefault="002371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C3068">
              <w:rPr>
                <w:rFonts w:asciiTheme="minorHAnsi" w:hAnsiTheme="minorHAnsi"/>
              </w:rPr>
              <w:t>24. 3. 2018</w:t>
            </w: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342BC6"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gramStart"/>
            <w:r>
              <w:rPr>
                <w:rFonts w:asciiTheme="minorHAnsi" w:hAnsiTheme="minorHAnsi"/>
              </w:rPr>
              <w:t>8.3.2018</w:t>
            </w:r>
            <w:proofErr w:type="gramEnd"/>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gramStart"/>
            <w:r>
              <w:rPr>
                <w:rFonts w:asciiTheme="minorHAnsi" w:hAnsiTheme="minorHAnsi"/>
              </w:rPr>
              <w:t>19.9.2018</w:t>
            </w:r>
            <w:proofErr w:type="gramEnd"/>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740FB4" w:rsidRPr="005354DD" w:rsidRDefault="00740FB4" w:rsidP="00380C0F">
            <w:pPr>
              <w:pStyle w:val="Tabulka"/>
              <w:jc w:val="center"/>
              <w:cnfStyle w:val="000000000000" w:firstRow="0" w:lastRow="0" w:firstColumn="0" w:lastColumn="0" w:oddVBand="0" w:evenVBand="0" w:oddHBand="0" w:evenHBand="0" w:firstRowFirstColumn="0" w:firstRowLastColumn="0" w:lastRowFirstColumn="0" w:lastRowLastColumn="0"/>
              <w:rPr>
                <w:highlight w:val="cyan"/>
              </w:rPr>
            </w:pPr>
            <w:proofErr w:type="gramStart"/>
            <w:r>
              <w:rPr>
                <w:rFonts w:asciiTheme="minorHAnsi" w:hAnsiTheme="minorHAnsi"/>
              </w:rPr>
              <w:t>1.12.2019</w:t>
            </w:r>
            <w:proofErr w:type="gramEnd"/>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155" w:rsidRDefault="00585155" w:rsidP="00962258">
      <w:pPr>
        <w:spacing w:after="0" w:line="240" w:lineRule="auto"/>
      </w:pPr>
      <w:r>
        <w:separator/>
      </w:r>
    </w:p>
  </w:endnote>
  <w:endnote w:type="continuationSeparator" w:id="0">
    <w:p w:rsidR="00585155" w:rsidRDefault="005851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 xml:space="preserve">Smlouva o dílo na </w:t>
          </w:r>
          <w:r>
            <w:t xml:space="preserve">zhotovení </w:t>
          </w:r>
          <w:r w:rsidRPr="00BD0C4A">
            <w:t>Záměru projektu a Dokumentace pro územní řízení (ZP+DUR)</w:t>
          </w:r>
        </w:p>
      </w:tc>
    </w:tr>
  </w:tbl>
  <w:p w:rsidR="0021309A" w:rsidRPr="00BD0C4A" w:rsidRDefault="0021309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04B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04B9">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4</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 xml:space="preserve">Smlouva o dílo na </w:t>
          </w:r>
          <w:r w:rsidR="008A7137">
            <w:t xml:space="preserve">zhotovení </w:t>
          </w:r>
          <w:r w:rsidRPr="00BD0C4A">
            <w:t>Záměru projektu a Dokumentace pro územní řízení (ZP+DUR)</w:t>
          </w:r>
        </w:p>
      </w:tc>
    </w:tr>
  </w:tbl>
  <w:p w:rsidR="0021309A" w:rsidRPr="00BD0C4A" w:rsidRDefault="0021309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4</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5</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5</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6</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 xml:space="preserve">Smlouva o dílo na </w:t>
          </w:r>
          <w:r w:rsidR="008A7137">
            <w:t xml:space="preserve">zhotovení </w:t>
          </w:r>
          <w:r w:rsidRPr="00BD0C4A">
            <w:t>Záměru projektu a Dokumentace pro územní řízení (ZP+DUR)</w:t>
          </w:r>
        </w:p>
      </w:tc>
    </w:tr>
  </w:tbl>
  <w:p w:rsidR="0021309A" w:rsidRPr="00BD0C4A" w:rsidRDefault="0021309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6</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8A7137">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3</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7</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7</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8</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8</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6</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9</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9</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10</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10</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B8518B" w:rsidRDefault="0021309A" w:rsidP="00460660">
    <w:pPr>
      <w:pStyle w:val="Zpat"/>
      <w:rPr>
        <w:sz w:val="2"/>
        <w:szCs w:val="2"/>
      </w:rPr>
    </w:pPr>
  </w:p>
  <w:p w:rsidR="0021309A" w:rsidRPr="00B8518B" w:rsidRDefault="0021309A" w:rsidP="00F9740F">
    <w:pPr>
      <w:pStyle w:val="Zpat"/>
      <w:rPr>
        <w:sz w:val="2"/>
        <w:szCs w:val="2"/>
      </w:rPr>
    </w:pPr>
  </w:p>
  <w:p w:rsidR="0021309A" w:rsidRPr="00460660" w:rsidRDefault="0021309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1</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 xml:space="preserve">Smlouva o dílo na </w:t>
          </w:r>
          <w:r w:rsidR="008A7137">
            <w:t xml:space="preserve">zhotovení </w:t>
          </w:r>
          <w:r w:rsidRPr="00BD0C4A">
            <w:t>Záměru projektu a Dokumentace pro územní řízení (ZP+DUR)</w:t>
          </w:r>
        </w:p>
      </w:tc>
    </w:tr>
  </w:tbl>
  <w:p w:rsidR="0021309A" w:rsidRPr="00BD0C4A" w:rsidRDefault="0021309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1</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2</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2</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2</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1309A" w:rsidRPr="003462EB" w:rsidTr="00BD0C4A">
      <w:trPr>
        <w:trHeight w:val="247"/>
      </w:trPr>
      <w:tc>
        <w:tcPr>
          <w:tcW w:w="907" w:type="dxa"/>
          <w:tcMar>
            <w:left w:w="0" w:type="dxa"/>
            <w:right w:w="0" w:type="dxa"/>
          </w:tcMar>
          <w:vAlign w:val="bottom"/>
        </w:tcPr>
        <w:p w:rsidR="0021309A" w:rsidRPr="00B8518B" w:rsidRDefault="002130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21309A" w:rsidRDefault="0021309A" w:rsidP="00BD0C4A">
          <w:pPr>
            <w:pStyle w:val="Zpatvlevo"/>
          </w:pPr>
          <w:r>
            <w:t>Příloha č. 3</w:t>
          </w:r>
        </w:p>
        <w:p w:rsidR="0021309A" w:rsidRPr="00BD0C4A" w:rsidRDefault="00585155" w:rsidP="00BD0C4A">
          <w:pPr>
            <w:pStyle w:val="Zpatvle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levo"/>
          </w:pPr>
          <w:r w:rsidRPr="00BD0C4A">
            <w:t>Smlouva o dílo na Záměru projektu a Dokumentace pro územní řízení (ZP+DUR)</w:t>
          </w:r>
        </w:p>
      </w:tc>
    </w:tr>
  </w:tbl>
  <w:p w:rsidR="0021309A" w:rsidRPr="00BD0C4A" w:rsidRDefault="0021309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1309A" w:rsidRPr="009E09BE" w:rsidTr="00BD0C4A">
      <w:tc>
        <w:tcPr>
          <w:tcW w:w="7873" w:type="dxa"/>
          <w:vAlign w:val="bottom"/>
        </w:tcPr>
        <w:p w:rsidR="0021309A" w:rsidRDefault="0021309A" w:rsidP="00BD0C4A">
          <w:pPr>
            <w:pStyle w:val="Zpatvpravo"/>
          </w:pPr>
          <w:r>
            <w:t>Příloha č. 3</w:t>
          </w:r>
        </w:p>
        <w:p w:rsidR="0021309A" w:rsidRPr="00BD0C4A" w:rsidRDefault="00585155" w:rsidP="00BD0C4A">
          <w:pPr>
            <w:pStyle w:val="Zpatvpravo"/>
          </w:pPr>
          <w:r>
            <w:fldChar w:fldCharType="begin"/>
          </w:r>
          <w:r>
            <w:instrText xml:space="preserve"> STYLEREF  _Název_akce  \* MERGEFORMAT </w:instrText>
          </w:r>
          <w:r>
            <w:fldChar w:fldCharType="separate"/>
          </w:r>
          <w:r w:rsidR="009F4551">
            <w:rPr>
              <w:noProof/>
            </w:rPr>
            <w:t>„GSM-R+ETCS Hranice na Moravě – Horní Lideč - Střelná“</w:t>
          </w:r>
          <w:r>
            <w:rPr>
              <w:noProof/>
            </w:rPr>
            <w:fldChar w:fldCharType="end"/>
          </w:r>
        </w:p>
        <w:p w:rsidR="0021309A" w:rsidRPr="00BD0C4A" w:rsidRDefault="0021309A" w:rsidP="00BD0C4A">
          <w:pPr>
            <w:pStyle w:val="Zpatvpravo"/>
          </w:pPr>
          <w:r w:rsidRPr="00BD0C4A">
            <w:t xml:space="preserve">Smlouva o dílo na </w:t>
          </w:r>
          <w:r w:rsidR="008A7137">
            <w:t xml:space="preserve">zhotovení </w:t>
          </w:r>
          <w:r w:rsidRPr="00BD0C4A">
            <w:t>Záměru projektu a Dokumentace pro územní řízení (ZP+DUR)</w:t>
          </w:r>
        </w:p>
      </w:tc>
      <w:tc>
        <w:tcPr>
          <w:tcW w:w="859" w:type="dxa"/>
          <w:vAlign w:val="bottom"/>
        </w:tcPr>
        <w:p w:rsidR="0021309A" w:rsidRPr="009E09BE" w:rsidRDefault="002130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F4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4551">
            <w:rPr>
              <w:b/>
              <w:noProof/>
              <w:color w:val="FF5200" w:themeColor="accent2"/>
              <w:sz w:val="14"/>
              <w:szCs w:val="14"/>
            </w:rPr>
            <w:t>1</w:t>
          </w:r>
          <w:r w:rsidRPr="007145F3">
            <w:rPr>
              <w:b/>
              <w:noProof/>
              <w:color w:val="FF5200" w:themeColor="accent2"/>
              <w:sz w:val="14"/>
              <w:szCs w:val="14"/>
            </w:rPr>
            <w:fldChar w:fldCharType="end"/>
          </w:r>
        </w:p>
      </w:tc>
    </w:tr>
  </w:tbl>
  <w:p w:rsidR="0021309A" w:rsidRPr="00B8518B" w:rsidRDefault="002130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155" w:rsidRDefault="00585155" w:rsidP="00962258">
      <w:pPr>
        <w:spacing w:after="0" w:line="240" w:lineRule="auto"/>
      </w:pPr>
      <w:r>
        <w:separator/>
      </w:r>
    </w:p>
  </w:footnote>
  <w:footnote w:type="continuationSeparator" w:id="0">
    <w:p w:rsidR="00585155" w:rsidRDefault="005851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309A" w:rsidTr="00B22106">
      <w:trPr>
        <w:trHeight w:hRule="exact" w:val="936"/>
      </w:trPr>
      <w:tc>
        <w:tcPr>
          <w:tcW w:w="1361" w:type="dxa"/>
          <w:tcMar>
            <w:left w:w="0" w:type="dxa"/>
            <w:right w:w="0" w:type="dxa"/>
          </w:tcMar>
        </w:tcPr>
        <w:p w:rsidR="0021309A" w:rsidRPr="00B8518B" w:rsidRDefault="0021309A" w:rsidP="00FC6389">
          <w:pPr>
            <w:pStyle w:val="Zpat"/>
            <w:rPr>
              <w:rStyle w:val="slostrnky"/>
            </w:rPr>
          </w:pPr>
        </w:p>
      </w:tc>
      <w:tc>
        <w:tcPr>
          <w:tcW w:w="3458" w:type="dxa"/>
          <w:shd w:val="clear" w:color="auto" w:fill="auto"/>
          <w:tcMar>
            <w:left w:w="0" w:type="dxa"/>
            <w:right w:w="0" w:type="dxa"/>
          </w:tcMar>
        </w:tcPr>
        <w:p w:rsidR="0021309A" w:rsidRDefault="0021309A" w:rsidP="00FC6389">
          <w:pPr>
            <w:pStyle w:val="Zpat"/>
          </w:pPr>
          <w:r>
            <w:rPr>
              <w:noProof/>
              <w:lang w:eastAsia="cs-CZ"/>
            </w:rPr>
            <w:drawing>
              <wp:anchor distT="0" distB="0" distL="114300" distR="114300" simplePos="0" relativeHeight="251659264" behindDoc="0" locked="1" layoutInCell="1" allowOverlap="1" wp14:anchorId="4FFE805A" wp14:editId="718ED7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1309A" w:rsidRPr="00D6163D" w:rsidRDefault="0021309A" w:rsidP="00FC6389">
          <w:pPr>
            <w:pStyle w:val="Druhdokumentu"/>
          </w:pPr>
        </w:p>
      </w:tc>
    </w:tr>
    <w:tr w:rsidR="0021309A" w:rsidTr="00B22106">
      <w:trPr>
        <w:trHeight w:hRule="exact" w:val="936"/>
      </w:trPr>
      <w:tc>
        <w:tcPr>
          <w:tcW w:w="1361" w:type="dxa"/>
          <w:tcMar>
            <w:left w:w="0" w:type="dxa"/>
            <w:right w:w="0" w:type="dxa"/>
          </w:tcMar>
        </w:tcPr>
        <w:p w:rsidR="0021309A" w:rsidRPr="00B8518B" w:rsidRDefault="0021309A" w:rsidP="00FC6389">
          <w:pPr>
            <w:pStyle w:val="Zpat"/>
            <w:rPr>
              <w:rStyle w:val="slostrnky"/>
            </w:rPr>
          </w:pPr>
        </w:p>
      </w:tc>
      <w:tc>
        <w:tcPr>
          <w:tcW w:w="3458" w:type="dxa"/>
          <w:shd w:val="clear" w:color="auto" w:fill="auto"/>
          <w:tcMar>
            <w:left w:w="0" w:type="dxa"/>
            <w:right w:w="0" w:type="dxa"/>
          </w:tcMar>
        </w:tcPr>
        <w:p w:rsidR="0021309A" w:rsidRDefault="0021309A" w:rsidP="00FC6389">
          <w:pPr>
            <w:pStyle w:val="Zpat"/>
          </w:pPr>
        </w:p>
      </w:tc>
      <w:tc>
        <w:tcPr>
          <w:tcW w:w="5756" w:type="dxa"/>
          <w:shd w:val="clear" w:color="auto" w:fill="auto"/>
          <w:tcMar>
            <w:left w:w="0" w:type="dxa"/>
            <w:right w:w="0" w:type="dxa"/>
          </w:tcMar>
        </w:tcPr>
        <w:p w:rsidR="0021309A" w:rsidRPr="00D6163D" w:rsidRDefault="0021309A" w:rsidP="00FC6389">
          <w:pPr>
            <w:pStyle w:val="Druhdokumentu"/>
          </w:pPr>
        </w:p>
      </w:tc>
    </w:tr>
  </w:tbl>
  <w:p w:rsidR="0021309A" w:rsidRPr="00D6163D" w:rsidRDefault="0021309A" w:rsidP="00FC6389">
    <w:pPr>
      <w:pStyle w:val="Zhlav"/>
      <w:rPr>
        <w:sz w:val="8"/>
        <w:szCs w:val="8"/>
      </w:rPr>
    </w:pPr>
  </w:p>
  <w:p w:rsidR="0021309A" w:rsidRPr="00460660" w:rsidRDefault="0021309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Default="0021309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Default="0021309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Default="0021309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Default="0021309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09A" w:rsidRPr="00D6163D" w:rsidRDefault="002130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DF093D"/>
    <w:multiLevelType w:val="hybridMultilevel"/>
    <w:tmpl w:val="24448714"/>
    <w:lvl w:ilvl="0" w:tplc="04050001">
      <w:start w:val="1"/>
      <w:numFmt w:val="bullet"/>
      <w:lvlText w:val=""/>
      <w:lvlJc w:val="left"/>
      <w:pPr>
        <w:ind w:left="2166" w:hanging="360"/>
      </w:pPr>
      <w:rPr>
        <w:rFonts w:ascii="Symbol" w:hAnsi="Symbol" w:hint="default"/>
      </w:rPr>
    </w:lvl>
    <w:lvl w:ilvl="1" w:tplc="04050003" w:tentative="1">
      <w:start w:val="1"/>
      <w:numFmt w:val="bullet"/>
      <w:lvlText w:val="o"/>
      <w:lvlJc w:val="left"/>
      <w:pPr>
        <w:ind w:left="2886" w:hanging="360"/>
      </w:pPr>
      <w:rPr>
        <w:rFonts w:ascii="Courier New" w:hAnsi="Courier New" w:cs="Courier New" w:hint="default"/>
      </w:rPr>
    </w:lvl>
    <w:lvl w:ilvl="2" w:tplc="04050005" w:tentative="1">
      <w:start w:val="1"/>
      <w:numFmt w:val="bullet"/>
      <w:lvlText w:val=""/>
      <w:lvlJc w:val="left"/>
      <w:pPr>
        <w:ind w:left="3606" w:hanging="360"/>
      </w:pPr>
      <w:rPr>
        <w:rFonts w:ascii="Wingdings" w:hAnsi="Wingdings" w:hint="default"/>
      </w:rPr>
    </w:lvl>
    <w:lvl w:ilvl="3" w:tplc="04050001" w:tentative="1">
      <w:start w:val="1"/>
      <w:numFmt w:val="bullet"/>
      <w:lvlText w:val=""/>
      <w:lvlJc w:val="left"/>
      <w:pPr>
        <w:ind w:left="4326" w:hanging="360"/>
      </w:pPr>
      <w:rPr>
        <w:rFonts w:ascii="Symbol" w:hAnsi="Symbol" w:hint="default"/>
      </w:rPr>
    </w:lvl>
    <w:lvl w:ilvl="4" w:tplc="04050003" w:tentative="1">
      <w:start w:val="1"/>
      <w:numFmt w:val="bullet"/>
      <w:lvlText w:val="o"/>
      <w:lvlJc w:val="left"/>
      <w:pPr>
        <w:ind w:left="5046" w:hanging="360"/>
      </w:pPr>
      <w:rPr>
        <w:rFonts w:ascii="Courier New" w:hAnsi="Courier New" w:cs="Courier New" w:hint="default"/>
      </w:rPr>
    </w:lvl>
    <w:lvl w:ilvl="5" w:tplc="04050005" w:tentative="1">
      <w:start w:val="1"/>
      <w:numFmt w:val="bullet"/>
      <w:lvlText w:val=""/>
      <w:lvlJc w:val="left"/>
      <w:pPr>
        <w:ind w:left="5766" w:hanging="360"/>
      </w:pPr>
      <w:rPr>
        <w:rFonts w:ascii="Wingdings" w:hAnsi="Wingdings" w:hint="default"/>
      </w:rPr>
    </w:lvl>
    <w:lvl w:ilvl="6" w:tplc="04050001" w:tentative="1">
      <w:start w:val="1"/>
      <w:numFmt w:val="bullet"/>
      <w:lvlText w:val=""/>
      <w:lvlJc w:val="left"/>
      <w:pPr>
        <w:ind w:left="6486" w:hanging="360"/>
      </w:pPr>
      <w:rPr>
        <w:rFonts w:ascii="Symbol" w:hAnsi="Symbol" w:hint="default"/>
      </w:rPr>
    </w:lvl>
    <w:lvl w:ilvl="7" w:tplc="04050003" w:tentative="1">
      <w:start w:val="1"/>
      <w:numFmt w:val="bullet"/>
      <w:lvlText w:val="o"/>
      <w:lvlJc w:val="left"/>
      <w:pPr>
        <w:ind w:left="7206" w:hanging="360"/>
      </w:pPr>
      <w:rPr>
        <w:rFonts w:ascii="Courier New" w:hAnsi="Courier New" w:cs="Courier New" w:hint="default"/>
      </w:rPr>
    </w:lvl>
    <w:lvl w:ilvl="8" w:tplc="04050005" w:tentative="1">
      <w:start w:val="1"/>
      <w:numFmt w:val="bullet"/>
      <w:lvlText w:val=""/>
      <w:lvlJc w:val="left"/>
      <w:pPr>
        <w:ind w:left="7926" w:hanging="360"/>
      </w:pPr>
      <w:rPr>
        <w:rFonts w:ascii="Wingdings" w:hAnsi="Wingdings" w:hint="default"/>
      </w:rPr>
    </w:lvl>
  </w:abstractNum>
  <w:abstractNum w:abstractNumId="5" w15:restartNumberingAfterBreak="0">
    <w:nsid w:val="272B5BA7"/>
    <w:multiLevelType w:val="hybridMultilevel"/>
    <w:tmpl w:val="BADC1F38"/>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2B4D6171"/>
    <w:multiLevelType w:val="hybridMultilevel"/>
    <w:tmpl w:val="90AC9B40"/>
    <w:lvl w:ilvl="0" w:tplc="876CA926">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3635BE"/>
    <w:multiLevelType w:val="multilevel"/>
    <w:tmpl w:val="A2FE64C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1446"/>
        </w:tabs>
        <w:ind w:left="1446" w:hanging="737"/>
      </w:pPr>
      <w:rPr>
        <w:rFonts w:hint="default"/>
      </w:rPr>
    </w:lvl>
    <w:lvl w:ilvl="3">
      <w:start w:val="1"/>
      <w:numFmt w:val="decimal"/>
      <w:lvlText w:val="%1.%2.%3.%4"/>
      <w:lvlJc w:val="left"/>
      <w:pPr>
        <w:tabs>
          <w:tab w:val="num" w:pos="964"/>
        </w:tabs>
        <w:ind w:left="964"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bullet"/>
      <w:lvlText w:val=""/>
      <w:lvlJc w:val="left"/>
      <w:pPr>
        <w:tabs>
          <w:tab w:val="num" w:pos="567"/>
        </w:tabs>
        <w:ind w:left="737" w:hanging="737"/>
      </w:pPr>
      <w:rPr>
        <w:rFonts w:ascii="Symbol" w:hAnsi="Symbol"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1"/>
  </w:num>
  <w:num w:numId="9">
    <w:abstractNumId w:val="0"/>
  </w:num>
  <w:num w:numId="10">
    <w:abstractNumId w:val="2"/>
  </w:num>
  <w:num w:numId="11">
    <w:abstractNumId w:val="13"/>
  </w:num>
  <w:num w:numId="12">
    <w:abstractNumId w:val="0"/>
  </w:num>
  <w:num w:numId="13">
    <w:abstractNumId w:val="2"/>
  </w:num>
  <w:num w:numId="14">
    <w:abstractNumId w:val="2"/>
  </w:num>
  <w:num w:numId="15">
    <w:abstractNumId w:val="9"/>
  </w:num>
  <w:num w:numId="16">
    <w:abstractNumId w:val="9"/>
  </w:num>
  <w:num w:numId="17">
    <w:abstractNumId w:val="9"/>
  </w:num>
  <w:num w:numId="18">
    <w:abstractNumId w:val="10"/>
  </w:num>
  <w:num w:numId="19">
    <w:abstractNumId w:val="10"/>
  </w:num>
  <w:num w:numId="20">
    <w:abstractNumId w:val="10"/>
  </w:num>
  <w:num w:numId="21">
    <w:abstractNumId w:val="11"/>
  </w:num>
  <w:num w:numId="22">
    <w:abstractNumId w:val="0"/>
  </w:num>
  <w:num w:numId="23">
    <w:abstractNumId w:val="0"/>
  </w:num>
  <w:num w:numId="24">
    <w:abstractNumId w:val="2"/>
  </w:num>
  <w:num w:numId="25">
    <w:abstractNumId w:val="2"/>
  </w:num>
  <w:num w:numId="26">
    <w:abstractNumId w:val="13"/>
  </w:num>
  <w:num w:numId="27">
    <w:abstractNumId w:val="0"/>
  </w:num>
  <w:num w:numId="28">
    <w:abstractNumId w:val="2"/>
  </w:num>
  <w:num w:numId="29">
    <w:abstractNumId w:val="2"/>
  </w:num>
  <w:num w:numId="30">
    <w:abstractNumId w:val="9"/>
  </w:num>
  <w:num w:numId="31">
    <w:abstractNumId w:val="9"/>
  </w:num>
  <w:num w:numId="32">
    <w:abstractNumId w:val="9"/>
  </w:num>
  <w:num w:numId="33">
    <w:abstractNumId w:val="9"/>
  </w:num>
  <w:num w:numId="34">
    <w:abstractNumId w:val="10"/>
  </w:num>
  <w:num w:numId="35">
    <w:abstractNumId w:val="10"/>
  </w:num>
  <w:num w:numId="36">
    <w:abstractNumId w:val="10"/>
  </w:num>
  <w:num w:numId="37">
    <w:abstractNumId w:val="10"/>
  </w:num>
  <w:num w:numId="38">
    <w:abstractNumId w:val="11"/>
  </w:num>
  <w:num w:numId="39">
    <w:abstractNumId w:val="0"/>
  </w:num>
  <w:num w:numId="40">
    <w:abstractNumId w:val="0"/>
  </w:num>
  <w:num w:numId="41">
    <w:abstractNumId w:val="2"/>
  </w:num>
  <w:num w:numId="42">
    <w:abstractNumId w:val="2"/>
  </w:num>
  <w:num w:numId="43">
    <w:abstractNumId w:val="13"/>
  </w:num>
  <w:num w:numId="44">
    <w:abstractNumId w:val="13"/>
  </w:num>
  <w:num w:numId="45">
    <w:abstractNumId w:val="4"/>
  </w:num>
  <w:num w:numId="46">
    <w:abstractNumId w:val="6"/>
  </w:num>
  <w:num w:numId="47">
    <w:abstractNumId w:val="5"/>
  </w:num>
  <w:num w:numId="4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1EC8"/>
    <w:rsid w:val="000509D4"/>
    <w:rsid w:val="0006588D"/>
    <w:rsid w:val="00067A5E"/>
    <w:rsid w:val="000719BB"/>
    <w:rsid w:val="00072A65"/>
    <w:rsid w:val="00072C1E"/>
    <w:rsid w:val="000B4EB8"/>
    <w:rsid w:val="000C3700"/>
    <w:rsid w:val="000C41F2"/>
    <w:rsid w:val="000C71AC"/>
    <w:rsid w:val="000C72C8"/>
    <w:rsid w:val="000D22C4"/>
    <w:rsid w:val="000D27D1"/>
    <w:rsid w:val="000D6F1C"/>
    <w:rsid w:val="000E1A7F"/>
    <w:rsid w:val="00110376"/>
    <w:rsid w:val="00112864"/>
    <w:rsid w:val="00114472"/>
    <w:rsid w:val="00114988"/>
    <w:rsid w:val="00115069"/>
    <w:rsid w:val="001150F2"/>
    <w:rsid w:val="00143EC0"/>
    <w:rsid w:val="001656A2"/>
    <w:rsid w:val="00165977"/>
    <w:rsid w:val="00170EC5"/>
    <w:rsid w:val="001747C1"/>
    <w:rsid w:val="00177D6B"/>
    <w:rsid w:val="00191F90"/>
    <w:rsid w:val="001A20BD"/>
    <w:rsid w:val="001A5B98"/>
    <w:rsid w:val="001B4E74"/>
    <w:rsid w:val="001C645F"/>
    <w:rsid w:val="001E1332"/>
    <w:rsid w:val="001E678E"/>
    <w:rsid w:val="002038D5"/>
    <w:rsid w:val="002071BB"/>
    <w:rsid w:val="00207DF5"/>
    <w:rsid w:val="0021309A"/>
    <w:rsid w:val="002344F6"/>
    <w:rsid w:val="002371B4"/>
    <w:rsid w:val="00240B81"/>
    <w:rsid w:val="00247D01"/>
    <w:rsid w:val="00261A5B"/>
    <w:rsid w:val="00262E5B"/>
    <w:rsid w:val="00276AFE"/>
    <w:rsid w:val="00283A8E"/>
    <w:rsid w:val="002A21B6"/>
    <w:rsid w:val="002A3B57"/>
    <w:rsid w:val="002A5468"/>
    <w:rsid w:val="002C31BF"/>
    <w:rsid w:val="002D7FD6"/>
    <w:rsid w:val="002E0CD7"/>
    <w:rsid w:val="002E0CFB"/>
    <w:rsid w:val="002E5C7B"/>
    <w:rsid w:val="002F4333"/>
    <w:rsid w:val="00327EEF"/>
    <w:rsid w:val="0033239F"/>
    <w:rsid w:val="003348F5"/>
    <w:rsid w:val="0034274B"/>
    <w:rsid w:val="00342BC6"/>
    <w:rsid w:val="0034719F"/>
    <w:rsid w:val="00350A35"/>
    <w:rsid w:val="003571D8"/>
    <w:rsid w:val="00357BC6"/>
    <w:rsid w:val="00361422"/>
    <w:rsid w:val="0037234B"/>
    <w:rsid w:val="0037545D"/>
    <w:rsid w:val="00380C0F"/>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50F07"/>
    <w:rsid w:val="00453CD3"/>
    <w:rsid w:val="0046002F"/>
    <w:rsid w:val="00460660"/>
    <w:rsid w:val="00464BA9"/>
    <w:rsid w:val="00483969"/>
    <w:rsid w:val="00486107"/>
    <w:rsid w:val="0048793D"/>
    <w:rsid w:val="00491827"/>
    <w:rsid w:val="004C4399"/>
    <w:rsid w:val="004C787C"/>
    <w:rsid w:val="004D09FB"/>
    <w:rsid w:val="004D403D"/>
    <w:rsid w:val="004E7A1F"/>
    <w:rsid w:val="004F0093"/>
    <w:rsid w:val="004F3B82"/>
    <w:rsid w:val="004F4B9B"/>
    <w:rsid w:val="00502690"/>
    <w:rsid w:val="0050666E"/>
    <w:rsid w:val="00511AB9"/>
    <w:rsid w:val="00523BB5"/>
    <w:rsid w:val="00523EA7"/>
    <w:rsid w:val="005354DD"/>
    <w:rsid w:val="00536724"/>
    <w:rsid w:val="005406EB"/>
    <w:rsid w:val="005445D5"/>
    <w:rsid w:val="00553375"/>
    <w:rsid w:val="00555884"/>
    <w:rsid w:val="005736B7"/>
    <w:rsid w:val="00575E5A"/>
    <w:rsid w:val="00580245"/>
    <w:rsid w:val="00585155"/>
    <w:rsid w:val="005A1F44"/>
    <w:rsid w:val="005A3013"/>
    <w:rsid w:val="005B7C03"/>
    <w:rsid w:val="005D3C39"/>
    <w:rsid w:val="00601A8C"/>
    <w:rsid w:val="0061068E"/>
    <w:rsid w:val="006115D3"/>
    <w:rsid w:val="00644895"/>
    <w:rsid w:val="0065610E"/>
    <w:rsid w:val="00660AD3"/>
    <w:rsid w:val="00670D9A"/>
    <w:rsid w:val="006776B6"/>
    <w:rsid w:val="006904B9"/>
    <w:rsid w:val="00693150"/>
    <w:rsid w:val="006A5570"/>
    <w:rsid w:val="006A689C"/>
    <w:rsid w:val="006A7CF1"/>
    <w:rsid w:val="006B3D79"/>
    <w:rsid w:val="006B6FE4"/>
    <w:rsid w:val="006C2343"/>
    <w:rsid w:val="006C442A"/>
    <w:rsid w:val="006D3D66"/>
    <w:rsid w:val="006E02E5"/>
    <w:rsid w:val="006E0578"/>
    <w:rsid w:val="006E314D"/>
    <w:rsid w:val="006E4E0B"/>
    <w:rsid w:val="00710723"/>
    <w:rsid w:val="007145F3"/>
    <w:rsid w:val="00723ED1"/>
    <w:rsid w:val="00740AF5"/>
    <w:rsid w:val="00740EE9"/>
    <w:rsid w:val="00740FB4"/>
    <w:rsid w:val="00743525"/>
    <w:rsid w:val="00744076"/>
    <w:rsid w:val="007541A2"/>
    <w:rsid w:val="00755818"/>
    <w:rsid w:val="007616C2"/>
    <w:rsid w:val="0076286B"/>
    <w:rsid w:val="00766846"/>
    <w:rsid w:val="0077673A"/>
    <w:rsid w:val="007846E1"/>
    <w:rsid w:val="007847D6"/>
    <w:rsid w:val="00796283"/>
    <w:rsid w:val="007A0056"/>
    <w:rsid w:val="007A5172"/>
    <w:rsid w:val="007A67A0"/>
    <w:rsid w:val="007B570C"/>
    <w:rsid w:val="007E4A6E"/>
    <w:rsid w:val="007F56A7"/>
    <w:rsid w:val="00800851"/>
    <w:rsid w:val="00807DD0"/>
    <w:rsid w:val="00821D01"/>
    <w:rsid w:val="00826B7B"/>
    <w:rsid w:val="00846789"/>
    <w:rsid w:val="008579C7"/>
    <w:rsid w:val="00864A0F"/>
    <w:rsid w:val="00866994"/>
    <w:rsid w:val="00872362"/>
    <w:rsid w:val="008A3568"/>
    <w:rsid w:val="008A7137"/>
    <w:rsid w:val="008C50F3"/>
    <w:rsid w:val="008C7EFE"/>
    <w:rsid w:val="008D03B9"/>
    <w:rsid w:val="008D30C7"/>
    <w:rsid w:val="008E558A"/>
    <w:rsid w:val="008F18D6"/>
    <w:rsid w:val="008F2C9B"/>
    <w:rsid w:val="008F797B"/>
    <w:rsid w:val="00904780"/>
    <w:rsid w:val="0090635B"/>
    <w:rsid w:val="00922385"/>
    <w:rsid w:val="009223DF"/>
    <w:rsid w:val="00926243"/>
    <w:rsid w:val="00930F78"/>
    <w:rsid w:val="00936091"/>
    <w:rsid w:val="00940D8A"/>
    <w:rsid w:val="00962243"/>
    <w:rsid w:val="00962258"/>
    <w:rsid w:val="009678B7"/>
    <w:rsid w:val="00992D9C"/>
    <w:rsid w:val="00996CB8"/>
    <w:rsid w:val="009977D7"/>
    <w:rsid w:val="009B001F"/>
    <w:rsid w:val="009B2E97"/>
    <w:rsid w:val="009B4201"/>
    <w:rsid w:val="009B5146"/>
    <w:rsid w:val="009C418E"/>
    <w:rsid w:val="009C442C"/>
    <w:rsid w:val="009E07F4"/>
    <w:rsid w:val="009F0867"/>
    <w:rsid w:val="009F309B"/>
    <w:rsid w:val="009F392E"/>
    <w:rsid w:val="009F4551"/>
    <w:rsid w:val="009F53C5"/>
    <w:rsid w:val="009F638B"/>
    <w:rsid w:val="00A0740E"/>
    <w:rsid w:val="00A21A01"/>
    <w:rsid w:val="00A24FBF"/>
    <w:rsid w:val="00A34B65"/>
    <w:rsid w:val="00A50641"/>
    <w:rsid w:val="00A530BF"/>
    <w:rsid w:val="00A6177B"/>
    <w:rsid w:val="00A62B61"/>
    <w:rsid w:val="00A66136"/>
    <w:rsid w:val="00A71189"/>
    <w:rsid w:val="00A7364A"/>
    <w:rsid w:val="00A74DCC"/>
    <w:rsid w:val="00A753ED"/>
    <w:rsid w:val="00A77512"/>
    <w:rsid w:val="00A94351"/>
    <w:rsid w:val="00A94C29"/>
    <w:rsid w:val="00A94C2F"/>
    <w:rsid w:val="00A955FC"/>
    <w:rsid w:val="00AA4CBB"/>
    <w:rsid w:val="00AA65FA"/>
    <w:rsid w:val="00AA7351"/>
    <w:rsid w:val="00AA7488"/>
    <w:rsid w:val="00AA7AB8"/>
    <w:rsid w:val="00AB4F25"/>
    <w:rsid w:val="00AB7E04"/>
    <w:rsid w:val="00AD056F"/>
    <w:rsid w:val="00AD0C7B"/>
    <w:rsid w:val="00AD5F1A"/>
    <w:rsid w:val="00AD6731"/>
    <w:rsid w:val="00B008D5"/>
    <w:rsid w:val="00B02F73"/>
    <w:rsid w:val="00B05B31"/>
    <w:rsid w:val="00B0619F"/>
    <w:rsid w:val="00B13A26"/>
    <w:rsid w:val="00B15D0D"/>
    <w:rsid w:val="00B22106"/>
    <w:rsid w:val="00B42F40"/>
    <w:rsid w:val="00B5431A"/>
    <w:rsid w:val="00B64294"/>
    <w:rsid w:val="00B75EE1"/>
    <w:rsid w:val="00B77481"/>
    <w:rsid w:val="00B8518B"/>
    <w:rsid w:val="00B92ABC"/>
    <w:rsid w:val="00B97CC3"/>
    <w:rsid w:val="00BC06C4"/>
    <w:rsid w:val="00BD0C4A"/>
    <w:rsid w:val="00BD7E91"/>
    <w:rsid w:val="00BD7F0D"/>
    <w:rsid w:val="00C02D0A"/>
    <w:rsid w:val="00C03A6E"/>
    <w:rsid w:val="00C21394"/>
    <w:rsid w:val="00C226C0"/>
    <w:rsid w:val="00C32CC8"/>
    <w:rsid w:val="00C37459"/>
    <w:rsid w:val="00C42FE6"/>
    <w:rsid w:val="00C44F6A"/>
    <w:rsid w:val="00C45470"/>
    <w:rsid w:val="00C55366"/>
    <w:rsid w:val="00C6198E"/>
    <w:rsid w:val="00C708EA"/>
    <w:rsid w:val="00C778A5"/>
    <w:rsid w:val="00C95162"/>
    <w:rsid w:val="00CB4F6D"/>
    <w:rsid w:val="00CB6A37"/>
    <w:rsid w:val="00CB7684"/>
    <w:rsid w:val="00CC7060"/>
    <w:rsid w:val="00CC72E4"/>
    <w:rsid w:val="00CC7C8F"/>
    <w:rsid w:val="00CD1FC4"/>
    <w:rsid w:val="00CE3DF8"/>
    <w:rsid w:val="00D034A0"/>
    <w:rsid w:val="00D21061"/>
    <w:rsid w:val="00D32690"/>
    <w:rsid w:val="00D4108E"/>
    <w:rsid w:val="00D4328E"/>
    <w:rsid w:val="00D6163D"/>
    <w:rsid w:val="00D831A3"/>
    <w:rsid w:val="00D97BE3"/>
    <w:rsid w:val="00DA3711"/>
    <w:rsid w:val="00DB2BE5"/>
    <w:rsid w:val="00DD46F3"/>
    <w:rsid w:val="00DE56F2"/>
    <w:rsid w:val="00DF116D"/>
    <w:rsid w:val="00E16FF7"/>
    <w:rsid w:val="00E26D68"/>
    <w:rsid w:val="00E44045"/>
    <w:rsid w:val="00E618C4"/>
    <w:rsid w:val="00E7415D"/>
    <w:rsid w:val="00E878EE"/>
    <w:rsid w:val="00E901A3"/>
    <w:rsid w:val="00EA585B"/>
    <w:rsid w:val="00EA6EC7"/>
    <w:rsid w:val="00EA7331"/>
    <w:rsid w:val="00EB104F"/>
    <w:rsid w:val="00EB1D1D"/>
    <w:rsid w:val="00EB46E5"/>
    <w:rsid w:val="00ED14BD"/>
    <w:rsid w:val="00EE3349"/>
    <w:rsid w:val="00F016C7"/>
    <w:rsid w:val="00F12DEC"/>
    <w:rsid w:val="00F1715C"/>
    <w:rsid w:val="00F310F8"/>
    <w:rsid w:val="00F35939"/>
    <w:rsid w:val="00F422D3"/>
    <w:rsid w:val="00F44922"/>
    <w:rsid w:val="00F44957"/>
    <w:rsid w:val="00F45607"/>
    <w:rsid w:val="00F4722B"/>
    <w:rsid w:val="00F54432"/>
    <w:rsid w:val="00F568F9"/>
    <w:rsid w:val="00F62DF7"/>
    <w:rsid w:val="00F659EB"/>
    <w:rsid w:val="00F762A8"/>
    <w:rsid w:val="00F861D5"/>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074B3B4F-FE94-49E7-B50A-E6D2B7F1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yperlink" Target="http://www.OPD.cz"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2A7342"/>
    <w:rsid w:val="0035793D"/>
    <w:rsid w:val="00365737"/>
    <w:rsid w:val="005C2C97"/>
    <w:rsid w:val="00796541"/>
    <w:rsid w:val="008960E4"/>
    <w:rsid w:val="00B20866"/>
    <w:rsid w:val="00D51BCB"/>
    <w:rsid w:val="00E3790D"/>
    <w:rsid w:val="00EA31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91B9793-95CC-43DF-BF0C-82E52F98D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1</Pages>
  <Words>3897</Words>
  <Characters>22998</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2020-10-16T08:08:00Z</cp:lastPrinted>
  <dcterms:created xsi:type="dcterms:W3CDTF">2020-10-16T05:00:00Z</dcterms:created>
  <dcterms:modified xsi:type="dcterms:W3CDTF">2020-10-16T08:09:00Z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