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62AD7">
        <w:rPr>
          <w:rFonts w:ascii="Verdana" w:hAnsi="Verdana"/>
          <w:sz w:val="18"/>
          <w:szCs w:val="18"/>
        </w:rPr>
        <w:t>„</w:t>
      </w:r>
      <w:r w:rsidR="00633583">
        <w:rPr>
          <w:rFonts w:ascii="Verdana" w:hAnsi="Verdana"/>
          <w:sz w:val="18"/>
          <w:szCs w:val="18"/>
        </w:rPr>
        <w:t>Oprava zabezpečovacího zařízení v </w:t>
      </w:r>
      <w:proofErr w:type="spellStart"/>
      <w:r w:rsidR="00633583">
        <w:rPr>
          <w:rFonts w:ascii="Verdana" w:hAnsi="Verdana"/>
          <w:sz w:val="18"/>
          <w:szCs w:val="18"/>
        </w:rPr>
        <w:t>žst</w:t>
      </w:r>
      <w:proofErr w:type="spellEnd"/>
      <w:r w:rsidR="00633583">
        <w:rPr>
          <w:rFonts w:ascii="Verdana" w:hAnsi="Verdana"/>
          <w:sz w:val="18"/>
          <w:szCs w:val="18"/>
        </w:rPr>
        <w:t>. Bechyně“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33583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6E4D06"/>
  <w15:docId w15:val="{BCEC24D5-B417-490C-ADD1-5418BFD5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2020-10-14T08:09:00Z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