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D33B1A" w:rsidRPr="00D33B1A">
        <w:rPr>
          <w:rFonts w:ascii="Verdana" w:hAnsi="Verdana"/>
          <w:sz w:val="18"/>
          <w:szCs w:val="18"/>
        </w:rPr>
        <w:t>Výkon koordinátora BOZP pro opravné akce v obvodu OŘ Praha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D078C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D078CF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8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8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8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603A85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3A85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078CF"/>
    <w:rsid w:val="00D12124"/>
    <w:rsid w:val="00D23AE7"/>
    <w:rsid w:val="00D33B1A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82003F"/>
  <w15:docId w15:val="{0CB93BD1-9CD5-4297-94A0-4AA2D623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7EA318-0435-4146-8BD9-4E8786A7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20</cp:revision>
  <cp:lastPrinted>2020-10-07T05:41:00Z</cp:lastPrinted>
  <dcterms:created xsi:type="dcterms:W3CDTF">2018-12-07T16:33:00Z</dcterms:created>
  <dcterms:modified xsi:type="dcterms:W3CDTF">2020-10-07T05:41:00Z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