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16EC9" w:rsidRPr="00BB66FD">
        <w:rPr>
          <w:rFonts w:ascii="Verdana" w:hAnsi="Verdana"/>
          <w:b/>
          <w:sz w:val="18"/>
          <w:szCs w:val="18"/>
        </w:rPr>
        <w:t>„</w:t>
      </w:r>
      <w:r w:rsidR="00A01DFE" w:rsidRPr="00A01DFE">
        <w:rPr>
          <w:rFonts w:ascii="Verdana" w:hAnsi="Verdana"/>
          <w:b/>
          <w:sz w:val="18"/>
          <w:szCs w:val="18"/>
        </w:rPr>
        <w:t>Oprava zabezpečovacího zařízení na trati Horní Lideč st.hr. – Hranice na M.</w:t>
      </w:r>
      <w:bookmarkStart w:id="0" w:name="_GoBack"/>
      <w:bookmarkEnd w:id="0"/>
      <w:r w:rsidR="00316EC9" w:rsidRPr="00BB66FD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01DF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01DFE" w:rsidRPr="00A01DF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6EC9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093D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5B04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2F16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1DFE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7D9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A5C27ECF-4992-49DC-A52E-77E1D7F70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F0A393-AB34-4F52-8F64-E909F2AB0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2020-09-21T08:31:00Z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