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393A3" w14:textId="2981530D" w:rsidR="00DA4F92" w:rsidRDefault="00DA4F92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DA4F92">
        <w:rPr>
          <w:b w:val="0"/>
          <w:u w:val="none"/>
          <w:lang w:eastAsia="en-US"/>
        </w:rPr>
        <w:t>Příloha č. 3 Výzvy - Závazný vzor kupní smlouvy</w:t>
      </w:r>
    </w:p>
    <w:p w14:paraId="615BD464" w14:textId="77777777" w:rsidR="00DA4F92" w:rsidRPr="00DA4F92" w:rsidRDefault="00DA4F92" w:rsidP="00DA4F92"/>
    <w:p w14:paraId="73C4A373" w14:textId="39E99EF3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62600D20" w:rsidR="00F20995" w:rsidRP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A25F4">
        <w:rPr>
          <w:rFonts w:eastAsia="Times New Roman" w:cs="Times New Roman"/>
          <w:b/>
          <w:lang w:eastAsia="cs-CZ"/>
        </w:rPr>
        <w:t>Číslo smlouvy kupujícího.</w:t>
      </w:r>
    </w:p>
    <w:p w14:paraId="6DF16FA9" w14:textId="0C6AD7E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CA25F4" w:rsidRPr="00F20995">
        <w:rPr>
          <w:rFonts w:eastAsia="Times New Roman" w:cs="Times New Roman"/>
          <w:b/>
          <w:highlight w:val="yellow"/>
          <w:lang w:eastAsia="cs-CZ"/>
        </w:rPr>
        <w:t>……………</w:t>
      </w:r>
      <w:r w:rsidR="00CA25F4" w:rsidRPr="00347176">
        <w:rPr>
          <w:rFonts w:eastAsia="Times New Roman" w:cs="Times New Roman"/>
          <w:b/>
          <w:highlight w:val="yellow"/>
          <w:lang w:eastAsia="cs-CZ"/>
        </w:rPr>
        <w:t>…(doplní prodávající)</w:t>
      </w:r>
    </w:p>
    <w:p w14:paraId="1A09913B" w14:textId="6B7EE2F8" w:rsid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9C9BF56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CA25F4" w:rsidRPr="00782ED6">
        <w:rPr>
          <w:rFonts w:eastAsia="Times New Roman" w:cs="Times New Roman"/>
          <w:lang w:eastAsia="cs-CZ"/>
        </w:rPr>
        <w:t>zastoupená Ing. Marcelou Pernicovou, náměstkyní GŘ pro provozuschopnost dráhy</w:t>
      </w:r>
    </w:p>
    <w:p w14:paraId="2D28EC39" w14:textId="563C8802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D978E0B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CA25F4">
        <w:rPr>
          <w:b/>
          <w:lang w:eastAsia="cs-CZ"/>
        </w:rPr>
        <w:t>„</w:t>
      </w:r>
      <w:r w:rsidR="000514A9" w:rsidRPr="000514A9">
        <w:rPr>
          <w:b/>
          <w:lang w:eastAsia="cs-CZ"/>
        </w:rPr>
        <w:t>Technické zhodnocení VT72 dálkové ovládání navijáku a jeřábu</w:t>
      </w:r>
      <w:r w:rsidRPr="00CA25F4">
        <w:rPr>
          <w:b/>
          <w:lang w:eastAsia="cs-CZ"/>
        </w:rPr>
        <w:t>“,</w:t>
      </w:r>
      <w:r w:rsidRPr="00CA25F4">
        <w:rPr>
          <w:lang w:eastAsia="cs-CZ"/>
        </w:rPr>
        <w:t xml:space="preserve"> </w:t>
      </w:r>
      <w:r w:rsidR="001C22E7" w:rsidRPr="00CA25F4">
        <w:rPr>
          <w:rFonts w:eastAsia="Times New Roman" w:cs="Times New Roman"/>
          <w:lang w:eastAsia="cs-CZ"/>
        </w:rPr>
        <w:t>č.j. veřejné zakázky</w:t>
      </w:r>
      <w:r w:rsidR="000514A9">
        <w:rPr>
          <w:rFonts w:eastAsia="Times New Roman" w:cs="Times New Roman"/>
          <w:lang w:eastAsia="cs-CZ"/>
        </w:rPr>
        <w:t xml:space="preserve"> 57781</w:t>
      </w:r>
      <w:r w:rsidR="00CA25F4" w:rsidRPr="00CA25F4">
        <w:rPr>
          <w:rFonts w:eastAsia="Times New Roman" w:cs="Times New Roman"/>
          <w:lang w:eastAsia="cs-CZ"/>
        </w:rPr>
        <w:t>/2020-SŽ-GŘ-O8</w:t>
      </w:r>
      <w:r w:rsidR="001C22E7" w:rsidRPr="00CA25F4">
        <w:rPr>
          <w:rFonts w:eastAsia="Times New Roman" w:cs="Times New Roman"/>
          <w:lang w:eastAsia="cs-CZ"/>
        </w:rPr>
        <w:t xml:space="preserve"> </w:t>
      </w:r>
      <w:r w:rsidRPr="00CA25F4">
        <w:rPr>
          <w:lang w:eastAsia="cs-CZ"/>
        </w:rPr>
        <w:t xml:space="preserve">(dále jen „veřejná zakázka“). Jednotlivá ustanovení této </w:t>
      </w:r>
      <w:r w:rsidR="008B1447" w:rsidRPr="00CA25F4">
        <w:rPr>
          <w:lang w:eastAsia="cs-CZ"/>
        </w:rPr>
        <w:t>Sml</w:t>
      </w:r>
      <w:r w:rsidRPr="00CA25F4">
        <w:rPr>
          <w:lang w:eastAsia="cs-CZ"/>
        </w:rPr>
        <w:t>ouvy tak budou vykládána v souladu se zadávacími podmínkami veřejné zakázky.</w:t>
      </w:r>
      <w:r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7A7E48E0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Předmětem koupě je </w:t>
      </w:r>
      <w:r w:rsidR="00BB6E45">
        <w:rPr>
          <w:rFonts w:eastAsia="Times New Roman" w:cs="Times New Roman"/>
          <w:lang w:eastAsia="cs-CZ"/>
        </w:rPr>
        <w:t>dodávka</w:t>
      </w:r>
      <w:r w:rsidR="00BB6E45">
        <w:t xml:space="preserve"> řídící elektroniky nástavby VT-72, a to včetně odborné instalace na 4 ks vyproš</w:t>
      </w:r>
      <w:r w:rsidR="000514A9">
        <w:t xml:space="preserve">ťovacích </w:t>
      </w:r>
      <w:r w:rsidR="000514A9" w:rsidRPr="00C078FA">
        <w:t>tanků VT-72B</w:t>
      </w:r>
      <w:bookmarkStart w:id="0" w:name="_GoBack"/>
      <w:bookmarkEnd w:id="0"/>
      <w:r w:rsidR="000514A9" w:rsidRPr="00C078FA">
        <w:t xml:space="preserve"> kupujícího</w:t>
      </w:r>
      <w:r w:rsidR="00BB6E45">
        <w:t xml:space="preserve">, návodu k použití a zaškolení zástupce </w:t>
      </w:r>
      <w:r w:rsidR="000514A9">
        <w:t>kupujícího</w:t>
      </w:r>
      <w:r w:rsidR="00BB6E45">
        <w:t>. Plnění proběhne</w:t>
      </w:r>
      <w:r w:rsidR="000514A9">
        <w:t xml:space="preserve"> na čtyři části</w:t>
      </w:r>
      <w:r w:rsidR="00BB6E45">
        <w:t xml:space="preserve"> s realizací nepřekračující 20 pracovních dní na každý tank, aby byla zachována akceschopnost techniky zadavatele pro plnění úkolů.</w:t>
      </w:r>
    </w:p>
    <w:p w14:paraId="01CA54BB" w14:textId="6F2D6EF5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Přesná specifikace je uvedena v příloze č. </w:t>
      </w:r>
      <w:r w:rsidR="00A85D47" w:rsidRPr="00A85D47">
        <w:rPr>
          <w:rFonts w:eastAsia="Times New Roman" w:cs="Times New Roman"/>
          <w:lang w:eastAsia="cs-CZ"/>
        </w:rPr>
        <w:t>1 a č. 2 této Smlouvy</w:t>
      </w:r>
      <w:r w:rsidRPr="00A85D47">
        <w:rPr>
          <w:rFonts w:eastAsia="Times New Roman" w:cs="Times New Roman"/>
          <w:lang w:eastAsia="cs-CZ"/>
        </w:rPr>
        <w:t>.</w:t>
      </w:r>
    </w:p>
    <w:p w14:paraId="4A214B1F" w14:textId="79F72194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>Předmět koupě musí splňovat podmínky stanovené právními předpisy, normam</w:t>
      </w:r>
      <w:r w:rsidR="001E5F6D">
        <w:rPr>
          <w:rFonts w:eastAsia="Times New Roman" w:cs="Times New Roman"/>
          <w:lang w:eastAsia="cs-CZ"/>
        </w:rPr>
        <w:t>i ČSN,</w:t>
      </w:r>
      <w:r w:rsidR="00A85D47" w:rsidRPr="00A85D47">
        <w:rPr>
          <w:rFonts w:eastAsia="Times New Roman" w:cs="Times New Roman"/>
          <w:lang w:eastAsia="cs-CZ"/>
        </w:rPr>
        <w:t xml:space="preserve"> technickými normami pro používání předmětu smlouvy v</w:t>
      </w:r>
      <w:r w:rsidR="001E5F6D">
        <w:rPr>
          <w:rFonts w:eastAsia="Times New Roman" w:cs="Times New Roman"/>
          <w:lang w:eastAsia="cs-CZ"/>
        </w:rPr>
        <w:t> </w:t>
      </w:r>
      <w:r w:rsidR="00A85D47" w:rsidRPr="00A85D47">
        <w:rPr>
          <w:rFonts w:eastAsia="Times New Roman" w:cs="Times New Roman"/>
          <w:lang w:eastAsia="cs-CZ"/>
        </w:rPr>
        <w:t>ČR</w:t>
      </w:r>
      <w:r w:rsidR="0021099B">
        <w:rPr>
          <w:rFonts w:eastAsia="Times New Roman" w:cs="Times New Roman"/>
          <w:lang w:eastAsia="cs-CZ"/>
        </w:rPr>
        <w:t>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190DD9B0" w14:textId="510C380E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4364E56B" w14:textId="03AE9A82" w:rsidR="00BE5819" w:rsidRPr="00F20995" w:rsidRDefault="0034045A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E5819" w:rsidRPr="00F20995">
        <w:rPr>
          <w:rFonts w:eastAsia="Times New Roman" w:cs="Times New Roman"/>
          <w:highlight w:val="yellow"/>
          <w:lang w:eastAsia="cs-CZ"/>
        </w:rPr>
        <w:t>……………….</w:t>
      </w:r>
      <w:r w:rsidR="00BE5819" w:rsidRPr="00F20995">
        <w:rPr>
          <w:rFonts w:eastAsia="Times New Roman" w:cs="Times New Roman"/>
          <w:lang w:eastAsia="cs-CZ"/>
        </w:rPr>
        <w:t xml:space="preserve"> Kč.</w:t>
      </w:r>
    </w:p>
    <w:p w14:paraId="4D7A3EB0" w14:textId="3A080DA5" w:rsidR="00BB6E45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</w:t>
      </w:r>
      <w:r w:rsidR="00BB6E45">
        <w:rPr>
          <w:rFonts w:eastAsia="Times New Roman" w:cs="Times New Roman"/>
          <w:lang w:eastAsia="cs-CZ"/>
        </w:rPr>
        <w:t>.</w:t>
      </w:r>
    </w:p>
    <w:p w14:paraId="62004549" w14:textId="77777777" w:rsidR="00BB6E45" w:rsidRDefault="00BB6E45" w:rsidP="00BB6E4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7AC7EEB" w14:textId="6D1572E5" w:rsidR="00BB6E45" w:rsidRDefault="000514A9" w:rsidP="00BB6E4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plnění smlouvy na 1 </w:t>
      </w:r>
      <w:r w:rsidRPr="00C078FA">
        <w:rPr>
          <w:rFonts w:eastAsia="Times New Roman" w:cs="Times New Roman"/>
          <w:lang w:eastAsia="cs-CZ"/>
        </w:rPr>
        <w:t>kusu VT-72</w:t>
      </w:r>
      <w:r w:rsidR="00C078FA" w:rsidRPr="00C078FA">
        <w:rPr>
          <w:rFonts w:eastAsia="Times New Roman" w:cs="Times New Roman"/>
          <w:lang w:eastAsia="cs-CZ"/>
        </w:rPr>
        <w:t>B</w:t>
      </w:r>
      <w:r w:rsidRPr="00C078FA">
        <w:rPr>
          <w:rFonts w:eastAsia="Times New Roman" w:cs="Times New Roman"/>
          <w:lang w:eastAsia="cs-CZ"/>
        </w:rPr>
        <w:t xml:space="preserve"> </w:t>
      </w:r>
      <w:r w:rsidR="00BB6E45" w:rsidRPr="00C078FA">
        <w:rPr>
          <w:rFonts w:eastAsia="Times New Roman" w:cs="Times New Roman"/>
          <w:lang w:eastAsia="cs-CZ"/>
        </w:rPr>
        <w:t>bez</w:t>
      </w:r>
      <w:r w:rsidR="00BB6E45">
        <w:rPr>
          <w:rFonts w:eastAsia="Times New Roman" w:cs="Times New Roman"/>
          <w:lang w:eastAsia="cs-CZ"/>
        </w:rPr>
        <w:t xml:space="preserve"> DPH</w:t>
      </w:r>
      <w:r w:rsidR="00BB6E45"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B6E45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BB6E45">
        <w:rPr>
          <w:rFonts w:eastAsia="Times New Roman" w:cs="Times New Roman"/>
          <w:lang w:eastAsia="cs-CZ"/>
        </w:rPr>
        <w:t xml:space="preserve"> Kč</w:t>
      </w:r>
      <w:r w:rsidR="00BB6E45" w:rsidRPr="007F5EC4">
        <w:rPr>
          <w:rFonts w:eastAsia="Times New Roman" w:cs="Times New Roman"/>
          <w:lang w:eastAsia="cs-CZ"/>
        </w:rPr>
        <w:t>.</w:t>
      </w:r>
    </w:p>
    <w:p w14:paraId="0F8DE959" w14:textId="77777777" w:rsidR="00BB6E45" w:rsidRPr="00F20995" w:rsidRDefault="00BB6E45" w:rsidP="00BB6E4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10C2015B" w14:textId="6AE5AB48" w:rsidR="00BE5819" w:rsidRDefault="000514A9" w:rsidP="00BB6E4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plnění smlouvy na 1 </w:t>
      </w:r>
      <w:r w:rsidRPr="00C078FA">
        <w:rPr>
          <w:rFonts w:eastAsia="Times New Roman" w:cs="Times New Roman"/>
          <w:lang w:eastAsia="cs-CZ"/>
        </w:rPr>
        <w:t>kusu VT-72</w:t>
      </w:r>
      <w:r w:rsidR="00C078FA" w:rsidRPr="00C078FA">
        <w:rPr>
          <w:rFonts w:eastAsia="Times New Roman" w:cs="Times New Roman"/>
          <w:lang w:eastAsia="cs-CZ"/>
        </w:rPr>
        <w:t>B</w:t>
      </w:r>
      <w:r w:rsidRPr="00C078FA">
        <w:rPr>
          <w:rFonts w:eastAsia="Times New Roman" w:cs="Times New Roman"/>
          <w:lang w:eastAsia="cs-CZ"/>
        </w:rPr>
        <w:t xml:space="preserve"> </w:t>
      </w:r>
      <w:r w:rsidR="00BB6E45" w:rsidRPr="00C078FA">
        <w:rPr>
          <w:rFonts w:eastAsia="Times New Roman" w:cs="Times New Roman"/>
          <w:lang w:eastAsia="cs-CZ"/>
        </w:rPr>
        <w:t>včetně</w:t>
      </w:r>
      <w:r w:rsidR="00BB6E45">
        <w:rPr>
          <w:rFonts w:eastAsia="Times New Roman" w:cs="Times New Roman"/>
          <w:lang w:eastAsia="cs-CZ"/>
        </w:rPr>
        <w:t xml:space="preserve"> DPH</w:t>
      </w:r>
      <w:r w:rsidR="00BB6E45"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BB6E45"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BB6E45" w:rsidRPr="00F20995">
        <w:rPr>
          <w:rFonts w:eastAsia="Times New Roman" w:cs="Times New Roman"/>
          <w:lang w:eastAsia="cs-CZ"/>
        </w:rPr>
        <w:t>. Kč</w:t>
      </w:r>
      <w:r w:rsidR="00BE5819" w:rsidRPr="00F20995">
        <w:rPr>
          <w:rFonts w:eastAsia="Times New Roman" w:cs="Times New Roman"/>
          <w:lang w:eastAsia="cs-CZ"/>
        </w:rPr>
        <w:t>.</w:t>
      </w:r>
    </w:p>
    <w:p w14:paraId="51856EBF" w14:textId="33D5CF43" w:rsidR="00DA4F92" w:rsidRPr="00BE5819" w:rsidRDefault="00DA4F92" w:rsidP="00001A63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21D1448F" w14:textId="0BC651C3" w:rsidR="00001A63" w:rsidRPr="000514A9" w:rsidRDefault="00BE5819" w:rsidP="000514A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Kupní cena bude uhrazena na základě faktury, jejíž přílohou musí být předávací protokol</w:t>
      </w:r>
      <w:r w:rsidR="000514A9">
        <w:rPr>
          <w:rFonts w:eastAsia="Times New Roman" w:cs="Times New Roman"/>
          <w:lang w:eastAsia="cs-CZ"/>
        </w:rPr>
        <w:t xml:space="preserve"> </w:t>
      </w:r>
      <w:r w:rsidR="000514A9">
        <w:rPr>
          <w:rFonts w:eastAsia="Times New Roman" w:cs="Times New Roman"/>
          <w:lang w:eastAsia="cs-CZ"/>
        </w:rPr>
        <w:br/>
        <w:t>4</w:t>
      </w:r>
      <w:r w:rsidR="00001A63" w:rsidRPr="00A85D47">
        <w:rPr>
          <w:rFonts w:eastAsia="Times New Roman" w:cs="Times New Roman"/>
          <w:lang w:eastAsia="cs-CZ"/>
        </w:rPr>
        <w:t xml:space="preserve"> </w:t>
      </w:r>
      <w:r w:rsidR="00001A63" w:rsidRPr="00C078FA">
        <w:rPr>
          <w:rFonts w:eastAsia="Times New Roman" w:cs="Times New Roman"/>
          <w:lang w:eastAsia="cs-CZ"/>
        </w:rPr>
        <w:t>kus</w:t>
      </w:r>
      <w:r w:rsidR="00EA2844" w:rsidRPr="00C078FA">
        <w:rPr>
          <w:rFonts w:eastAsia="Times New Roman" w:cs="Times New Roman"/>
          <w:lang w:eastAsia="cs-CZ"/>
        </w:rPr>
        <w:t>ů</w:t>
      </w:r>
      <w:r w:rsidR="00001A63" w:rsidRPr="00C078FA">
        <w:t xml:space="preserve"> </w:t>
      </w:r>
      <w:r w:rsidR="000514A9" w:rsidRPr="00C078FA">
        <w:rPr>
          <w:rFonts w:eastAsia="Times New Roman" w:cs="Times New Roman"/>
          <w:lang w:eastAsia="cs-CZ"/>
        </w:rPr>
        <w:t>VT-72</w:t>
      </w:r>
      <w:r w:rsidR="00C078FA" w:rsidRPr="00C078FA">
        <w:rPr>
          <w:rFonts w:eastAsia="Times New Roman" w:cs="Times New Roman"/>
          <w:lang w:eastAsia="cs-CZ"/>
        </w:rPr>
        <w:t>B</w:t>
      </w:r>
      <w:r w:rsidR="000514A9" w:rsidRPr="00C078FA">
        <w:rPr>
          <w:rFonts w:eastAsia="Times New Roman" w:cs="Times New Roman"/>
          <w:lang w:eastAsia="cs-CZ"/>
        </w:rPr>
        <w:t>, protokol</w:t>
      </w:r>
      <w:r w:rsidR="000514A9">
        <w:rPr>
          <w:rFonts w:eastAsia="Times New Roman" w:cs="Times New Roman"/>
          <w:lang w:eastAsia="cs-CZ"/>
        </w:rPr>
        <w:t xml:space="preserve"> o zaškolení zástupců kupujícího</w:t>
      </w:r>
      <w:r w:rsidR="00001A63">
        <w:rPr>
          <w:rFonts w:eastAsia="Times New Roman" w:cs="Times New Roman"/>
          <w:lang w:eastAsia="cs-CZ"/>
        </w:rPr>
        <w:t>,</w:t>
      </w:r>
      <w:r w:rsidR="00001A63" w:rsidRPr="00A71FBB">
        <w:rPr>
          <w:rFonts w:eastAsia="Times New Roman" w:cs="Times New Roman"/>
          <w:lang w:eastAsia="cs-CZ"/>
        </w:rPr>
        <w:t xml:space="preserve"> </w:t>
      </w:r>
      <w:r w:rsidRPr="00A71FBB">
        <w:rPr>
          <w:rFonts w:eastAsia="Times New Roman" w:cs="Times New Roman"/>
          <w:lang w:eastAsia="cs-CZ"/>
        </w:rPr>
        <w:t>podepsané oběma Smluvními stranami. Splatnost faktury činí 60 dnů.</w:t>
      </w:r>
    </w:p>
    <w:p w14:paraId="70884A3F" w14:textId="77777777" w:rsidR="00D85C5B" w:rsidRPr="001E5F6D" w:rsidRDefault="00D85C5B" w:rsidP="000E4F4B">
      <w:pPr>
        <w:pStyle w:val="Nadpis1"/>
        <w:rPr>
          <w:rFonts w:eastAsia="Times New Roman"/>
          <w:lang w:eastAsia="cs-CZ"/>
        </w:rPr>
      </w:pPr>
      <w:r w:rsidRPr="001E5F6D">
        <w:rPr>
          <w:rFonts w:eastAsia="Times New Roman"/>
          <w:lang w:eastAsia="cs-CZ"/>
        </w:rPr>
        <w:t>Místo a doba dodání</w:t>
      </w:r>
    </w:p>
    <w:p w14:paraId="37954E98" w14:textId="385F356C" w:rsidR="00D85C5B" w:rsidRPr="0021099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1099B">
        <w:rPr>
          <w:rFonts w:eastAsia="Times New Roman" w:cs="Times New Roman"/>
          <w:lang w:eastAsia="cs-CZ"/>
        </w:rPr>
        <w:t>Místo dodání je</w:t>
      </w:r>
      <w:r w:rsidR="0021099B">
        <w:rPr>
          <w:rFonts w:eastAsia="Times New Roman" w:cs="Times New Roman"/>
          <w:lang w:eastAsia="cs-CZ"/>
        </w:rPr>
        <w:t xml:space="preserve"> </w:t>
      </w:r>
      <w:r w:rsidR="000514A9" w:rsidRPr="000514A9">
        <w:rPr>
          <w:rFonts w:eastAsia="Times New Roman" w:cs="Times New Roman"/>
          <w:highlight w:val="yellow"/>
          <w:lang w:eastAsia="cs-CZ"/>
        </w:rPr>
        <w:t>(doplní prodávající)</w:t>
      </w:r>
    </w:p>
    <w:p w14:paraId="5115D35D" w14:textId="26A17599" w:rsidR="00D85C5B" w:rsidRPr="001E5F6D" w:rsidRDefault="006A529A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Předmět koupě bude dodán do 3</w:t>
      </w:r>
      <w:r>
        <w:t xml:space="preserve"> měsíců</w:t>
      </w:r>
      <w:r w:rsidR="00BE5819" w:rsidRPr="001E5F6D">
        <w:t xml:space="preserve"> od nabytí účinnosti kupní smlouvy</w:t>
      </w:r>
      <w:r w:rsidR="00D85C5B" w:rsidRPr="001E5F6D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D0C1EF2" w14:textId="6D6A5858" w:rsidR="001E5F6D" w:rsidRPr="00A71FBB" w:rsidRDefault="001E5F6D" w:rsidP="001E5F6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</w:t>
      </w:r>
      <w:r>
        <w:rPr>
          <w:rFonts w:eastAsia="Times New Roman" w:cs="Times New Roman"/>
          <w:lang w:eastAsia="cs-CZ"/>
        </w:rPr>
        <w:t>e každé části</w:t>
      </w:r>
      <w:r w:rsidRPr="00A71FBB">
        <w:rPr>
          <w:rFonts w:eastAsia="Times New Roman" w:cs="Times New Roman"/>
          <w:lang w:eastAsia="cs-CZ"/>
        </w:rPr>
        <w:t> předmětu koupě:</w:t>
      </w:r>
    </w:p>
    <w:p w14:paraId="450BEC4D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Předávací protokol,</w:t>
      </w:r>
    </w:p>
    <w:p w14:paraId="75751D43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Záruční listy,</w:t>
      </w:r>
    </w:p>
    <w:p w14:paraId="28F084A2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t>Originální návod na použití</w:t>
      </w:r>
      <w:r w:rsidRPr="001E5F6D">
        <w:rPr>
          <w:rFonts w:eastAsia="Times New Roman" w:cs="Times New Roman"/>
          <w:lang w:eastAsia="cs-CZ"/>
        </w:rPr>
        <w:t>,</w:t>
      </w:r>
    </w:p>
    <w:p w14:paraId="2E1D06E8" w14:textId="2583FF1F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Návody k použití a obsluze v českém jazyce,</w:t>
      </w:r>
    </w:p>
    <w:p w14:paraId="2A9EB3C5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Technická dokumentace k výrobku v českém jazyce,</w:t>
      </w:r>
    </w:p>
    <w:p w14:paraId="25635CF7" w14:textId="382E3A19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</w:t>
      </w:r>
      <w:r w:rsidRPr="001E5F6D">
        <w:t>rohlášení o shodě</w:t>
      </w:r>
      <w:r w:rsidRPr="001E5F6D">
        <w:rPr>
          <w:rFonts w:eastAsia="Times New Roman" w:cs="Times New Roman"/>
          <w:lang w:eastAsia="cs-CZ"/>
        </w:rPr>
        <w:t>,</w:t>
      </w:r>
    </w:p>
    <w:p w14:paraId="1244BCF7" w14:textId="6233FF05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Bezpečnostní list</w:t>
      </w:r>
      <w:r w:rsidR="00001A63">
        <w:rPr>
          <w:rFonts w:eastAsia="Times New Roman" w:cs="Times New Roman"/>
          <w:lang w:eastAsia="cs-CZ"/>
        </w:rPr>
        <w:t>y</w:t>
      </w:r>
      <w:r w:rsidRPr="001E5F6D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2F9AAE0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</w:t>
      </w:r>
      <w:r w:rsidRPr="001E5F6D">
        <w:rPr>
          <w:rFonts w:eastAsia="Times New Roman" w:cs="Times New Roman"/>
          <w:highlight w:val="yellow"/>
          <w:lang w:eastAsia="cs-CZ"/>
        </w:rPr>
        <w:t>……… (</w:t>
      </w:r>
      <w:r w:rsidR="001E5F6D" w:rsidRPr="001E5F6D">
        <w:rPr>
          <w:rFonts w:eastAsia="Times New Roman" w:cs="Times New Roman"/>
          <w:highlight w:val="yellow"/>
          <w:lang w:eastAsia="cs-CZ"/>
        </w:rPr>
        <w:t>doplní prodávající - minimálně 24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77777777" w:rsidR="00A33BB9" w:rsidRPr="00A33BB9" w:rsidRDefault="00A33BB9" w:rsidP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budou podílet poddodavatelé uvedení v příloze č…. této Smlouvy. </w:t>
      </w:r>
    </w:p>
    <w:p w14:paraId="5CD37451" w14:textId="77777777" w:rsidR="00A33BB9" w:rsidRPr="00A33BB9" w:rsidRDefault="00A33BB9" w:rsidP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lastRenderedPageBreak/>
        <w:t>(jestliže se na provedení díla nebudou podílet poddodavatelé, dodavatel do bodu 6.1 napíše: „Na provedení Díla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1E5F6D">
        <w:rPr>
          <w:rFonts w:eastAsia="Times New Roman" w:cs="Times New Roman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nebude Kupující jako s obchodním tajemstvím nakládat a ani odpovídat za případnou škodu či jinou újmu takovým postupem vzniklou. Označením obchodního tajemství ve smyslu předchozí věty se rozumí do</w:t>
      </w:r>
      <w:r w:rsidRPr="000C5DA0">
        <w:rPr>
          <w:rFonts w:eastAsia="Calibri" w:cs="Times New Roman"/>
        </w:rPr>
        <w:lastRenderedPageBreak/>
        <w:t xml:space="preserve">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DA4F92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F92">
        <w:rPr>
          <w:rFonts w:eastAsia="Calibri" w:cs="Times New Roman"/>
        </w:rPr>
        <w:t>Tato S</w:t>
      </w:r>
      <w:r w:rsidR="00D85C5B" w:rsidRPr="00DA4F92">
        <w:rPr>
          <w:rFonts w:eastAsia="Calibri" w:cs="Times New Roman"/>
        </w:rPr>
        <w:t xml:space="preserve">mlouva nabývá platnosti okamžikem podpisu poslední ze </w:t>
      </w:r>
      <w:r w:rsidR="00FB5045" w:rsidRPr="00DA4F92">
        <w:rPr>
          <w:rFonts w:eastAsia="Calibri" w:cs="Times New Roman"/>
        </w:rPr>
        <w:t>Sml</w:t>
      </w:r>
      <w:r w:rsidR="00D85C5B" w:rsidRPr="00DA4F92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F7E7050" w14:textId="65E9426E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C1601">
        <w:rPr>
          <w:rFonts w:eastAsia="Times New Roman" w:cs="Times New Roman"/>
          <w:highlight w:val="yellow"/>
          <w:lang w:eastAsia="cs-CZ"/>
        </w:rPr>
        <w:t>příloha č. 1</w:t>
      </w:r>
      <w:r w:rsidR="00BB6E45">
        <w:rPr>
          <w:rFonts w:eastAsia="Times New Roman" w:cs="Times New Roman"/>
          <w:highlight w:val="yellow"/>
          <w:lang w:eastAsia="cs-CZ"/>
        </w:rPr>
        <w:t>a</w:t>
      </w:r>
      <w:r w:rsidRPr="00CC1601">
        <w:rPr>
          <w:rFonts w:eastAsia="Times New Roman" w:cs="Times New Roman"/>
          <w:highlight w:val="yellow"/>
          <w:lang w:eastAsia="cs-CZ"/>
        </w:rPr>
        <w:t>:</w:t>
      </w:r>
      <w:r w:rsidRPr="00CC1601">
        <w:rPr>
          <w:rFonts w:eastAsia="Times New Roman" w:cs="Times New Roman"/>
          <w:highlight w:val="yellow"/>
          <w:lang w:eastAsia="cs-CZ"/>
        </w:rPr>
        <w:tab/>
        <w:t xml:space="preserve">specifikace předmětu </w:t>
      </w:r>
      <w:r w:rsidRPr="009F6F92">
        <w:rPr>
          <w:rFonts w:eastAsia="Times New Roman" w:cs="Times New Roman"/>
          <w:highlight w:val="yellow"/>
          <w:lang w:eastAsia="cs-CZ"/>
        </w:rPr>
        <w:t>koupě (poskytne prodávající)</w:t>
      </w:r>
    </w:p>
    <w:p w14:paraId="40A66933" w14:textId="586748FF" w:rsidR="00BB6E45" w:rsidRPr="000C5DA0" w:rsidRDefault="00BB6E45" w:rsidP="00A85D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B6E45">
        <w:rPr>
          <w:rFonts w:eastAsia="Times New Roman" w:cs="Times New Roman"/>
          <w:highlight w:val="yellow"/>
          <w:lang w:eastAsia="cs-CZ"/>
        </w:rPr>
        <w:t>příloha č. 1b:</w:t>
      </w:r>
      <w:r w:rsidRPr="00BB6E45">
        <w:rPr>
          <w:rFonts w:eastAsia="Times New Roman" w:cs="Times New Roman"/>
          <w:highlight w:val="yellow"/>
          <w:lang w:eastAsia="cs-CZ"/>
        </w:rPr>
        <w:tab/>
        <w:t>harmonogram plnění (poskytne prodávající)</w:t>
      </w:r>
    </w:p>
    <w:p w14:paraId="40A79EA7" w14:textId="77777777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2:</w:t>
      </w:r>
      <w:r w:rsidRPr="009F6F92">
        <w:rPr>
          <w:rFonts w:eastAsia="Times New Roman" w:cs="Times New Roman"/>
          <w:lang w:eastAsia="cs-CZ"/>
        </w:rPr>
        <w:tab/>
      </w:r>
      <w:r>
        <w:t>b</w:t>
      </w:r>
      <w:r w:rsidRPr="009F6F92">
        <w:t>ližší specifikace předmětu koupě (požadavek kupujícího)</w:t>
      </w:r>
    </w:p>
    <w:p w14:paraId="797E5497" w14:textId="77777777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3:</w:t>
      </w:r>
      <w:r w:rsidRPr="009F6F92">
        <w:rPr>
          <w:rFonts w:eastAsia="Times New Roman" w:cs="Times New Roman"/>
          <w:lang w:eastAsia="cs-CZ"/>
        </w:rPr>
        <w:tab/>
        <w:t>obchodní podmínky</w:t>
      </w:r>
    </w:p>
    <w:p w14:paraId="14BBA68B" w14:textId="493B72F4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4:</w:t>
      </w:r>
      <w:r>
        <w:rPr>
          <w:rFonts w:eastAsia="Times New Roman" w:cs="Times New Roman"/>
          <w:highlight w:val="yellow"/>
          <w:lang w:eastAsia="cs-CZ"/>
        </w:rPr>
        <w:tab/>
        <w:t>s</w:t>
      </w:r>
      <w:r w:rsidRPr="00DD49F5">
        <w:rPr>
          <w:rFonts w:eastAsia="Times New Roman" w:cs="Times New Roman"/>
          <w:highlight w:val="yellow"/>
          <w:lang w:eastAsia="cs-CZ"/>
        </w:rPr>
        <w:t xml:space="preserve">eznam </w:t>
      </w:r>
      <w:r w:rsidRPr="00133768">
        <w:rPr>
          <w:rFonts w:eastAsia="Times New Roman" w:cs="Times New Roman"/>
          <w:highlight w:val="yellow"/>
          <w:lang w:eastAsia="cs-CZ"/>
        </w:rPr>
        <w:t>poddodavatelů (poskytne prodávající, může využít přiložený vzor)</w:t>
      </w:r>
    </w:p>
    <w:p w14:paraId="7DF0D212" w14:textId="17DD8BC3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5: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</w:t>
      </w:r>
      <w:r>
        <w:rPr>
          <w:rFonts w:eastAsia="Times New Roman" w:cs="Times New Roman"/>
          <w:highlight w:val="yellow"/>
          <w:lang w:eastAsia="cs-CZ"/>
        </w:rPr>
        <w:t>, poskytne prodávající)</w:t>
      </w:r>
    </w:p>
    <w:p w14:paraId="2947847E" w14:textId="318AD05A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567EACE" w14:textId="77777777" w:rsidR="00A85D47" w:rsidRPr="007F5EC4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303F39E" w14:textId="75D7B41B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(bude elektronicky 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 elektronicky podepsáno)</w:t>
      </w:r>
    </w:p>
    <w:p w14:paraId="49A5A567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72C73250" w14:textId="77777777" w:rsidR="00A85D47" w:rsidRDefault="00A85D47" w:rsidP="00A85D47">
      <w:pPr>
        <w:spacing w:after="0" w:line="276" w:lineRule="auto"/>
        <w:rPr>
          <w:b/>
          <w:noProof/>
        </w:rPr>
      </w:pPr>
    </w:p>
    <w:p w14:paraId="5EE22C5C" w14:textId="77777777" w:rsidR="00A85D47" w:rsidRPr="00ED19B5" w:rsidRDefault="00A85D47" w:rsidP="00A85D47">
      <w:pPr>
        <w:spacing w:after="0" w:line="276" w:lineRule="auto"/>
        <w:rPr>
          <w:b/>
          <w:noProof/>
        </w:rPr>
      </w:pPr>
      <w:r w:rsidRPr="00ED19B5">
        <w:rPr>
          <w:b/>
          <w:noProof/>
        </w:rPr>
        <w:t>Ing. Marcela Pernicová</w:t>
      </w:r>
    </w:p>
    <w:p w14:paraId="25CCA4A8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  <w:r w:rsidRPr="00D90B12">
        <w:rPr>
          <w:rFonts w:asciiTheme="majorHAnsi" w:hAnsiTheme="majorHAnsi"/>
        </w:rPr>
        <w:tab/>
      </w:r>
      <w:r w:rsidRPr="00D90B12">
        <w:rPr>
          <w:rFonts w:asciiTheme="majorHAnsi" w:hAnsiTheme="majorHAnsi"/>
        </w:rPr>
        <w:tab/>
      </w:r>
      <w:r w:rsidRPr="00CB3AD5">
        <w:rPr>
          <w:rFonts w:asciiTheme="majorHAnsi" w:hAnsiTheme="majorHAnsi"/>
          <w:noProof/>
          <w:highlight w:val="yellow"/>
        </w:rPr>
        <w:t>[</w:t>
      </w:r>
      <w:r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Pr="00CB3AD5">
        <w:rPr>
          <w:rFonts w:asciiTheme="majorHAnsi" w:hAnsiTheme="majorHAnsi"/>
          <w:noProof/>
          <w:highlight w:val="yellow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CA25F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43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09FD7" w14:textId="77777777" w:rsidR="006D37F1" w:rsidRDefault="006D37F1" w:rsidP="00962258">
      <w:pPr>
        <w:spacing w:after="0" w:line="240" w:lineRule="auto"/>
      </w:pPr>
      <w:r>
        <w:separator/>
      </w:r>
    </w:p>
  </w:endnote>
  <w:endnote w:type="continuationSeparator" w:id="0">
    <w:p w14:paraId="25E3F069" w14:textId="77777777" w:rsidR="006D37F1" w:rsidRDefault="006D37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1868A64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F70AA8B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8F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8F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E5F6D" w:rsidRDefault="001E5F6D" w:rsidP="00CA25F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E5F6D" w:rsidRDefault="001E5F6D" w:rsidP="00CA25F4">
          <w:pPr>
            <w:pStyle w:val="Zpat"/>
          </w:pPr>
        </w:p>
      </w:tc>
      <w:tc>
        <w:tcPr>
          <w:tcW w:w="2921" w:type="dxa"/>
        </w:tcPr>
        <w:p w14:paraId="5769D112" w14:textId="77777777" w:rsidR="001E5F6D" w:rsidRDefault="001E5F6D" w:rsidP="00CA25F4">
          <w:pPr>
            <w:pStyle w:val="Zpat"/>
          </w:pPr>
        </w:p>
      </w:tc>
    </w:tr>
  </w:tbl>
  <w:p w14:paraId="6838673E" w14:textId="77777777" w:rsidR="001E5F6D" w:rsidRPr="00B8518B" w:rsidRDefault="001E5F6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B7A04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A0EAE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284085A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1E72336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78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78F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E5F6D" w:rsidRDefault="001E5F6D" w:rsidP="00CA25F4">
          <w:pPr>
            <w:pStyle w:val="Zpat"/>
          </w:pPr>
          <w:r>
            <w:t>Správa železnic, státní organizace</w:t>
          </w:r>
        </w:p>
        <w:p w14:paraId="73B501C9" w14:textId="77777777" w:rsidR="001E5F6D" w:rsidRDefault="001E5F6D" w:rsidP="00CA25F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E5F6D" w:rsidRDefault="001E5F6D" w:rsidP="00CA25F4">
          <w:pPr>
            <w:pStyle w:val="Zpat"/>
          </w:pPr>
          <w:r>
            <w:t>Sídlo: Dlážděná 1003/7, 110 00 Praha 1</w:t>
          </w:r>
        </w:p>
        <w:p w14:paraId="1AC701C9" w14:textId="77777777" w:rsidR="001E5F6D" w:rsidRDefault="001E5F6D" w:rsidP="00CA25F4">
          <w:pPr>
            <w:pStyle w:val="Zpat"/>
          </w:pPr>
          <w:r>
            <w:t>IČ: 709 94 234 DIČ: CZ 709 94 234</w:t>
          </w:r>
        </w:p>
        <w:p w14:paraId="5F9C430D" w14:textId="0C75DEAD" w:rsidR="001E5F6D" w:rsidRDefault="001E5F6D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1E5F6D" w:rsidRDefault="001E5F6D" w:rsidP="00CA25F4">
          <w:pPr>
            <w:pStyle w:val="Zpat"/>
          </w:pPr>
        </w:p>
      </w:tc>
    </w:tr>
  </w:tbl>
  <w:p w14:paraId="0935A879" w14:textId="77777777" w:rsidR="001E5F6D" w:rsidRPr="00B8518B" w:rsidRDefault="001E5F6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DD167A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44580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1E5F6D" w:rsidRPr="00460660" w:rsidRDefault="001E5F6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4895E" w14:textId="77777777" w:rsidR="006D37F1" w:rsidRDefault="006D37F1" w:rsidP="00962258">
      <w:pPr>
        <w:spacing w:after="0" w:line="240" w:lineRule="auto"/>
      </w:pPr>
      <w:r>
        <w:separator/>
      </w:r>
    </w:p>
  </w:footnote>
  <w:footnote w:type="continuationSeparator" w:id="0">
    <w:p w14:paraId="7967C057" w14:textId="77777777" w:rsidR="006D37F1" w:rsidRDefault="006D37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5DFA9468" w:rsidR="001E5F6D" w:rsidRPr="00D6163D" w:rsidRDefault="001E5F6D" w:rsidP="00CA25F4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711C4DFE" wp14:editId="65E8FEE9">
          <wp:extent cx="1243444" cy="704850"/>
          <wp:effectExtent l="0" t="0" r="0" b="0"/>
          <wp:docPr id="69" name="Obrázek 69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5F6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1E5F6D" w:rsidRPr="00D6163D" w:rsidRDefault="001E5F6D" w:rsidP="00FC6389">
          <w:pPr>
            <w:pStyle w:val="Druhdokumentu"/>
          </w:pPr>
        </w:p>
      </w:tc>
    </w:tr>
    <w:tr w:rsidR="001E5F6D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1E5F6D" w:rsidRPr="00D6163D" w:rsidRDefault="001E5F6D" w:rsidP="00FC6389">
          <w:pPr>
            <w:pStyle w:val="Druhdokumentu"/>
          </w:pPr>
        </w:p>
      </w:tc>
    </w:tr>
  </w:tbl>
  <w:p w14:paraId="4D4AA505" w14:textId="5B2B010A" w:rsidR="001E5F6D" w:rsidRPr="00D6163D" w:rsidRDefault="001E5F6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70" name="Obrázek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1E5F6D" w:rsidRPr="00460660" w:rsidRDefault="001E5F6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A63"/>
    <w:rsid w:val="00033414"/>
    <w:rsid w:val="000514A9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4472"/>
    <w:rsid w:val="00150719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792"/>
    <w:rsid w:val="001C4874"/>
    <w:rsid w:val="001E5F6D"/>
    <w:rsid w:val="001E62F8"/>
    <w:rsid w:val="00207DF5"/>
    <w:rsid w:val="0021099B"/>
    <w:rsid w:val="002150E7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045A"/>
    <w:rsid w:val="00341DCF"/>
    <w:rsid w:val="00346E96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29A"/>
    <w:rsid w:val="006A5570"/>
    <w:rsid w:val="006A689C"/>
    <w:rsid w:val="006B3D79"/>
    <w:rsid w:val="006D229F"/>
    <w:rsid w:val="006D37F1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85D47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B6E45"/>
    <w:rsid w:val="00BC51D3"/>
    <w:rsid w:val="00BD7E91"/>
    <w:rsid w:val="00BE5819"/>
    <w:rsid w:val="00C02D0A"/>
    <w:rsid w:val="00C03A6E"/>
    <w:rsid w:val="00C078FA"/>
    <w:rsid w:val="00C24C30"/>
    <w:rsid w:val="00C44F6A"/>
    <w:rsid w:val="00C47AE3"/>
    <w:rsid w:val="00C63CB5"/>
    <w:rsid w:val="00CA25F4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48FF"/>
    <w:rsid w:val="00D85C5B"/>
    <w:rsid w:val="00DA4F92"/>
    <w:rsid w:val="00DC75F3"/>
    <w:rsid w:val="00DD46F3"/>
    <w:rsid w:val="00DE56F2"/>
    <w:rsid w:val="00DF116D"/>
    <w:rsid w:val="00E17FE7"/>
    <w:rsid w:val="00E967DA"/>
    <w:rsid w:val="00EA1DA7"/>
    <w:rsid w:val="00EA2844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4A4A84E-6C36-4C8A-87D0-564784E5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C057C3-6491-4061-A054-A6AD0056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1341</Words>
  <Characters>7917</Characters>
  <Application>Microsoft Office Word</Application>
  <DocSecurity>4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2020-09-03T07:42:00Z</dcterms:created>
  <dcterms:modified xsi:type="dcterms:W3CDTF">2020-09-03T07:42:00Z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