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F31" w:rsidRDefault="001E2F31" w:rsidP="001E2F31">
      <w:pPr>
        <w:autoSpaceDE w:val="0"/>
        <w:autoSpaceDN w:val="0"/>
        <w:spacing w:after="0" w:line="240" w:lineRule="auto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t xml:space="preserve">Příloha č. 1 – Specifikace </w:t>
      </w:r>
      <w:r w:rsidR="0021447B">
        <w:rPr>
          <w:rFonts w:ascii="Verdana" w:hAnsi="Verdana"/>
          <w:noProof/>
        </w:rPr>
        <w:t xml:space="preserve">předmětu </w:t>
      </w:r>
      <w:r>
        <w:rPr>
          <w:rFonts w:ascii="Verdana" w:hAnsi="Verdana"/>
          <w:noProof/>
        </w:rPr>
        <w:t xml:space="preserve">plnění </w:t>
      </w:r>
    </w:p>
    <w:p w:rsidR="001E2F31" w:rsidRDefault="001E2F31" w:rsidP="001E2F31">
      <w:pPr>
        <w:autoSpaceDE w:val="0"/>
        <w:autoSpaceDN w:val="0"/>
        <w:spacing w:after="0" w:line="240" w:lineRule="auto"/>
        <w:jc w:val="both"/>
        <w:rPr>
          <w:rFonts w:ascii="Verdana" w:hAnsi="Verdana"/>
          <w:noProof/>
        </w:rPr>
      </w:pPr>
    </w:p>
    <w:p w:rsidR="001E2F31" w:rsidRPr="001E2F31" w:rsidRDefault="001E2F31" w:rsidP="001E2F31">
      <w:pPr>
        <w:numPr>
          <w:ilvl w:val="0"/>
          <w:numId w:val="1"/>
        </w:numPr>
        <w:autoSpaceDE w:val="0"/>
        <w:autoSpaceDN w:val="0"/>
        <w:spacing w:after="0" w:line="240" w:lineRule="auto"/>
        <w:ind w:left="426" w:firstLine="0"/>
        <w:jc w:val="both"/>
        <w:rPr>
          <w:rFonts w:ascii="Verdana" w:hAnsi="Verdana"/>
          <w:noProof/>
        </w:rPr>
      </w:pPr>
      <w:r w:rsidRPr="001E2F31">
        <w:rPr>
          <w:rFonts w:ascii="Verdana" w:hAnsi="Verdana"/>
          <w:noProof/>
        </w:rPr>
        <w:t>Dodavatel provede systémové uzavření turnik</w:t>
      </w:r>
      <w:r w:rsidR="0055308D">
        <w:rPr>
          <w:rFonts w:ascii="Verdana" w:hAnsi="Verdana"/>
          <w:noProof/>
        </w:rPr>
        <w:t>etů vždy v pondělí a to</w:t>
      </w:r>
      <w:bookmarkStart w:id="0" w:name="_GoBack"/>
      <w:bookmarkEnd w:id="0"/>
      <w:r w:rsidRPr="001E2F31">
        <w:rPr>
          <w:rFonts w:ascii="Verdana" w:hAnsi="Verdana"/>
          <w:noProof/>
        </w:rPr>
        <w:t xml:space="preserve"> formou předaného příslušenství k turniketu „uzávěrková karta“, kdy jejím použitím dojde k vyjetí uzávěrkového výjezdu z turniketu a odeslání dat do systému zákazníka o vybrané hotovosti z jednotlivých turniketů, v tuto chvíli turniket začíná počítat od 0 s uložením předchozího období a stavu mincovníku. Toto zhotovitel provede na každém turniketu vždy v pondělí současně s ukončením výběru finanční hotovosti a následně bezprostředně po skončení přepočítávání hotovosti tentýž den provede platební příkaz k zaslání finanční hotovosti na účty zákazníka u České národní banky. Takovéto zaslání finanční hotovosti na účty zákazníka probíhá 1x týdně vždy v pondělí po přepočtení finanční hotovosti. V období mezi dílčími výběry a zasláním finanční hotovosti je dodavatel povinen bezpečně uložit přepočtenou finanční hotovost, to vše na své náklady a riziko. </w:t>
      </w:r>
    </w:p>
    <w:p w:rsidR="001E2F31" w:rsidRPr="001E2F31" w:rsidRDefault="001E2F31" w:rsidP="001E2F31">
      <w:pPr>
        <w:numPr>
          <w:ilvl w:val="0"/>
          <w:numId w:val="1"/>
        </w:numPr>
        <w:autoSpaceDE w:val="0"/>
        <w:autoSpaceDN w:val="0"/>
        <w:spacing w:before="240" w:after="0" w:line="240" w:lineRule="auto"/>
        <w:ind w:left="425" w:firstLine="0"/>
        <w:jc w:val="both"/>
        <w:rPr>
          <w:rFonts w:ascii="Verdana" w:hAnsi="Verdana"/>
          <w:noProof/>
        </w:rPr>
      </w:pPr>
      <w:r w:rsidRPr="001E2F31">
        <w:rPr>
          <w:rFonts w:ascii="Verdana" w:hAnsi="Verdana"/>
          <w:noProof/>
        </w:rPr>
        <w:t xml:space="preserve">Po systémovém uzavření turniketů je dodavatel povinen poskytnout zákazníkovi veškerou dokumentaci ze systémového uzavření turniketů, dílčích výběrů finanční hotovosti s přesným uvedením času výběru, protokol z přepočítání finanční hotovosti a záznam o platebním příkazu o zaslání finanční hotovosti v elektronické formě, originály listinných dokumentů pak budou předány kontaktní osobě zákazníka ve lhůtě 3 pracovních dní od jejich vystavení. Dodavatel je povinen zajistit potřebný počet originálů těchto dokumentů tak, aby vždy mohl jeden originál předat zákazníkovi. </w:t>
      </w:r>
    </w:p>
    <w:p w:rsidR="001E2F31" w:rsidRPr="001E2F31" w:rsidRDefault="001E2F31" w:rsidP="001E2F31">
      <w:pPr>
        <w:numPr>
          <w:ilvl w:val="0"/>
          <w:numId w:val="1"/>
        </w:numPr>
        <w:autoSpaceDE w:val="0"/>
        <w:autoSpaceDN w:val="0"/>
        <w:spacing w:before="240" w:after="0" w:line="240" w:lineRule="auto"/>
        <w:ind w:left="425" w:firstLine="0"/>
        <w:jc w:val="both"/>
        <w:rPr>
          <w:rFonts w:ascii="Verdana" w:hAnsi="Verdana"/>
          <w:noProof/>
        </w:rPr>
      </w:pPr>
      <w:r w:rsidRPr="001E2F31">
        <w:rPr>
          <w:rFonts w:ascii="Verdana" w:hAnsi="Verdana"/>
          <w:noProof/>
        </w:rPr>
        <w:t>Dodavatel veškerou vybranou finanční hotovost uschovává až do převodu na účty zákazníka na své náklady a na své riziko. Dodavatel ručí za finanční hotovost od doby výběru této hotovosti z jednotlivých turniketů až do připsání finančních prostředků na účet zákazníka.</w:t>
      </w:r>
    </w:p>
    <w:p w:rsidR="001E2F31" w:rsidRPr="001E2F31" w:rsidRDefault="001E2F31" w:rsidP="001E2F31">
      <w:pPr>
        <w:numPr>
          <w:ilvl w:val="0"/>
          <w:numId w:val="1"/>
        </w:numPr>
        <w:autoSpaceDE w:val="0"/>
        <w:autoSpaceDN w:val="0"/>
        <w:spacing w:before="240" w:after="0" w:line="240" w:lineRule="auto"/>
        <w:ind w:left="425" w:firstLine="0"/>
        <w:jc w:val="both"/>
        <w:rPr>
          <w:rFonts w:ascii="Verdana" w:hAnsi="Verdana"/>
          <w:noProof/>
        </w:rPr>
      </w:pPr>
      <w:r w:rsidRPr="001E2F31">
        <w:rPr>
          <w:rFonts w:ascii="Verdana" w:hAnsi="Verdana"/>
          <w:noProof/>
        </w:rPr>
        <w:t xml:space="preserve">Dodavatel je povinen zajistit nepřetržitý přístup do schránek s hotovostí turniketů a provádět drobné servisní práce týkající se zejména zajištění průchodnosti jednotlivých vstupů hotovosti na turniketu (např. zneprůchodnění vstupu pro bankovky kreditní kartou apod.) a dále jedenkrát týdně provést vyčištění zařízení, otření čidel a mincovníku. </w:t>
      </w:r>
    </w:p>
    <w:p w:rsidR="001E2F31" w:rsidRPr="001E2F31" w:rsidRDefault="001E2F31" w:rsidP="001E2F31">
      <w:pPr>
        <w:numPr>
          <w:ilvl w:val="0"/>
          <w:numId w:val="1"/>
        </w:numPr>
        <w:autoSpaceDE w:val="0"/>
        <w:autoSpaceDN w:val="0"/>
        <w:spacing w:before="240" w:after="0" w:line="240" w:lineRule="auto"/>
        <w:ind w:left="425" w:firstLine="0"/>
        <w:jc w:val="both"/>
        <w:rPr>
          <w:rFonts w:ascii="Verdana" w:hAnsi="Verdana"/>
          <w:noProof/>
        </w:rPr>
      </w:pPr>
      <w:r w:rsidRPr="001E2F31">
        <w:rPr>
          <w:rFonts w:ascii="Verdana" w:hAnsi="Verdana"/>
          <w:noProof/>
        </w:rPr>
        <w:t>Dodavatel se zavazuje provádět přepočítání finanční hotovosti na zákazníkovi předem oznámeném místě. Zákazník je oprávněn být tomuto přepočítání přítomen a to i bez předchozího oznámení dodavateli. Přeprava finanční hotovosti do místa přepočítání finanční hotovosti je plně na náklady a riziko dodavatele.</w:t>
      </w:r>
    </w:p>
    <w:p w:rsidR="001E2F31" w:rsidRPr="001E2F31" w:rsidRDefault="001E2F31" w:rsidP="001E2F31">
      <w:pPr>
        <w:numPr>
          <w:ilvl w:val="0"/>
          <w:numId w:val="1"/>
        </w:numPr>
        <w:autoSpaceDE w:val="0"/>
        <w:autoSpaceDN w:val="0"/>
        <w:spacing w:before="240" w:after="0" w:line="240" w:lineRule="auto"/>
        <w:ind w:left="425" w:firstLine="0"/>
        <w:jc w:val="both"/>
        <w:rPr>
          <w:rFonts w:ascii="Verdana" w:hAnsi="Verdana"/>
          <w:noProof/>
        </w:rPr>
      </w:pPr>
      <w:r w:rsidRPr="001E2F31">
        <w:rPr>
          <w:rFonts w:ascii="Verdana" w:hAnsi="Verdana"/>
          <w:noProof/>
        </w:rPr>
        <w:t>Dodavatel se zavazuje přepočítávat zvlášť měnu EUR a zvlášť měnu CZK. Počty mincí a bankovek jednotlivých měn musí odpovídat údajům z elektronického systému turniketů. Pro vyloučení pochybností zákazník uvádí, že neakceptuje stav, kdy bude souhlasit výše přepočtené hotovosti na základě směnného kurzu EUR a CZK, ale musí souhlasit stav počtu mincí a bankovek jednotlivých měn.</w:t>
      </w:r>
    </w:p>
    <w:p w:rsidR="001E2F31" w:rsidRPr="001E2F31" w:rsidRDefault="001E2F31" w:rsidP="001E2F31">
      <w:pPr>
        <w:numPr>
          <w:ilvl w:val="0"/>
          <w:numId w:val="1"/>
        </w:numPr>
        <w:autoSpaceDE w:val="0"/>
        <w:autoSpaceDN w:val="0"/>
        <w:spacing w:before="240" w:after="0" w:line="240" w:lineRule="auto"/>
        <w:ind w:left="425" w:firstLine="0"/>
        <w:jc w:val="both"/>
        <w:rPr>
          <w:rFonts w:ascii="Verdana" w:hAnsi="Verdana"/>
          <w:noProof/>
        </w:rPr>
      </w:pPr>
      <w:r w:rsidRPr="001E2F31">
        <w:rPr>
          <w:rFonts w:ascii="Verdana" w:hAnsi="Verdana"/>
          <w:noProof/>
        </w:rPr>
        <w:t>Zpracování hotovosti je prováděno podle zásad stanovených zákonem č. 136/2011 Sb., o oběhu bankovek a mincí a o změně zákona č. 6/1993 Sb., o České národní bance, ve znění pozdějších předpisů a prováděcími právními předpisy. Turnikety dodavatele přijímají ke zpracování české koruny a eura (EUR mince 50 centů a 1 euro, CZK mince 10, 20 a 50 Kč a bankovky 100 a 200 Kč). Mince EUR budou zpracovávány podle stejných zásad a postupů jako české koruny.</w:t>
      </w:r>
    </w:p>
    <w:p w:rsidR="001E2F31" w:rsidRPr="001E2F31" w:rsidRDefault="001E2F31" w:rsidP="001E2F31">
      <w:pPr>
        <w:numPr>
          <w:ilvl w:val="0"/>
          <w:numId w:val="1"/>
        </w:numPr>
        <w:autoSpaceDE w:val="0"/>
        <w:autoSpaceDN w:val="0"/>
        <w:spacing w:before="240" w:after="0" w:line="240" w:lineRule="auto"/>
        <w:ind w:left="425" w:firstLine="0"/>
        <w:jc w:val="both"/>
        <w:rPr>
          <w:rFonts w:ascii="Verdana" w:hAnsi="Verdana"/>
          <w:noProof/>
        </w:rPr>
      </w:pPr>
      <w:r w:rsidRPr="001E2F31">
        <w:rPr>
          <w:rFonts w:ascii="Verdana" w:hAnsi="Verdana"/>
          <w:noProof/>
        </w:rPr>
        <w:t>O výsledcích zpracování hotovosti vyhotoví dodavatel protokol o zpracování hotovosti pro zákazníka s uvedením údajů o výsledcích zpracování hotovosti.</w:t>
      </w:r>
    </w:p>
    <w:p w:rsidR="001E2F31" w:rsidRDefault="001E2F31" w:rsidP="001E2F31">
      <w:pPr>
        <w:numPr>
          <w:ilvl w:val="0"/>
          <w:numId w:val="1"/>
        </w:numPr>
        <w:autoSpaceDE w:val="0"/>
        <w:autoSpaceDN w:val="0"/>
        <w:spacing w:before="240" w:after="0" w:line="240" w:lineRule="auto"/>
        <w:ind w:left="425" w:firstLine="0"/>
        <w:jc w:val="both"/>
        <w:rPr>
          <w:rFonts w:ascii="Verdana" w:hAnsi="Verdana"/>
          <w:noProof/>
        </w:rPr>
      </w:pPr>
      <w:r w:rsidRPr="001E2F31">
        <w:rPr>
          <w:rFonts w:ascii="Verdana" w:hAnsi="Verdana"/>
          <w:noProof/>
        </w:rPr>
        <w:t>Zjistí-li dodavatel při zpracování hotovosti neplatné, poškozené nebo neúplné (necelé) bankovky či mince, předá je zákazníkovi a počet těchto bankovek a mincí uvede v protokolu o zpracování hotovosti.</w:t>
      </w:r>
    </w:p>
    <w:p w:rsidR="0071683B" w:rsidRPr="001E2F31" w:rsidRDefault="001E2F31" w:rsidP="001E2F31">
      <w:pPr>
        <w:numPr>
          <w:ilvl w:val="0"/>
          <w:numId w:val="1"/>
        </w:numPr>
        <w:tabs>
          <w:tab w:val="left" w:pos="851"/>
        </w:tabs>
        <w:autoSpaceDE w:val="0"/>
        <w:autoSpaceDN w:val="0"/>
        <w:spacing w:before="240" w:after="0" w:line="240" w:lineRule="auto"/>
        <w:ind w:left="425" w:firstLine="0"/>
        <w:jc w:val="both"/>
        <w:rPr>
          <w:rFonts w:ascii="Verdana" w:hAnsi="Verdana"/>
          <w:noProof/>
        </w:rPr>
      </w:pPr>
      <w:r w:rsidRPr="001E2F31">
        <w:rPr>
          <w:rFonts w:ascii="Verdana" w:hAnsi="Verdana"/>
          <w:noProof/>
        </w:rPr>
        <w:t>V případě, že zákazník zjistí po přepočítání finanční hotovosti rozdíl (schodek) mezi údaji uvedenými dodavatelem a skutečným stavem – finanční hotovostí zaslanou na zákazníkovy účty, odpovídá za tento rozdíl (schodek) v plném rozsahu dodavatel. Dodavatel také odpovídá v plném rozsahu za rozdíl (schodek) vyšší než 0,2% mezi údaji ze systémového uzavření turniketů a údaji z protokolu o zpracování hotovosti. Zákazník pro přesnost uvádí, že může vznikat kladný rozdíl mezi skutečně vybranou finanční hotovostí a elektronickým záznamem turniketů. Tento kladný rozdíl připadá zákazníkovi a dodavatel s ním nesmí krýt žádný ze vzniklých schodků na finanční hotovosti. V případě, že bude při kontrole zjištěno, že dodavatel takovýto přebytek zákazníkovi zatajil, má zákazník právo odstoupit od smlouvy.</w:t>
      </w:r>
    </w:p>
    <w:sectPr w:rsidR="0071683B" w:rsidRPr="001E2F31" w:rsidSect="0011131F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86E74"/>
    <w:multiLevelType w:val="hybridMultilevel"/>
    <w:tmpl w:val="E3E698DE"/>
    <w:lvl w:ilvl="0" w:tplc="2FCAA3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B73"/>
    <w:rsid w:val="0011131F"/>
    <w:rsid w:val="001E2F31"/>
    <w:rsid w:val="0021447B"/>
    <w:rsid w:val="0055308D"/>
    <w:rsid w:val="0071683B"/>
    <w:rsid w:val="00B6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7B5E4"/>
  <w15:chartTrackingRefBased/>
  <w15:docId w15:val="{23179E8F-67B8-42B3-8636-5BA1417C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2F31"/>
    <w:pPr>
      <w:spacing w:after="240" w:line="264" w:lineRule="auto"/>
    </w:pPr>
    <w:rPr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1E2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E2F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1E2F3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2F3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2F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643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Stejskal Pavel, Ing.</dc:creator>
  <cp:keywords/>
  <dc:description/>
  <cp:lastModifiedBy>Mantlíková Lucie</cp:lastModifiedBy>
  <cp:revision>4</cp:revision>
  <dcterms:created xsi:type="dcterms:W3CDTF">2020-08-28T11:43:00Z</dcterms:created>
  <dcterms:modified xsi:type="dcterms:W3CDTF">2020-09-04T11:55:00Z</dcterms:modified>
</cp:coreProperties>
</file>