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930F0F" w:rsidRPr="00930F0F">
        <w:t>„</w:t>
      </w:r>
      <w:r w:rsidR="00F33439" w:rsidRPr="00F33439">
        <w:t>Oprava propustku v km 142,573 na trati Brno – Vlárský průsmyk</w:t>
      </w:r>
      <w:r w:rsidR="00930F0F" w:rsidRPr="00930F0F">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2A5A5B" w:rsidP="00D32554">
      <w:pPr>
        <w:pStyle w:val="Textbezodsazen"/>
        <w:rPr>
          <w:highlight w:val="green"/>
        </w:rPr>
      </w:pPr>
      <w:r>
        <w:rPr>
          <w:rFonts w:ascii="Verdana" w:eastAsia="Verdana" w:hAnsi="Verdana" w:cs="Times New Roman"/>
        </w:rPr>
        <w:t>zastoupena: 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2A5A5B" w:rsidRPr="002A5A5B" w:rsidRDefault="002A5A5B" w:rsidP="002A5A5B">
      <w:pPr>
        <w:spacing w:after="0" w:line="280" w:lineRule="exact"/>
        <w:rPr>
          <w:rFonts w:ascii="Verdana" w:eastAsia="Times New Roman" w:hAnsi="Verdana" w:cs="Calibri"/>
        </w:rPr>
      </w:pPr>
      <w:r w:rsidRPr="002A5A5B">
        <w:rPr>
          <w:rFonts w:ascii="Verdana" w:eastAsia="Times New Roman" w:hAnsi="Verdana" w:cs="Calibri"/>
        </w:rPr>
        <w:t>Správa železnic, státní organizace</w:t>
      </w:r>
    </w:p>
    <w:p w:rsidR="002A5A5B" w:rsidRPr="002A5A5B" w:rsidRDefault="002A5A5B" w:rsidP="002A5A5B">
      <w:pPr>
        <w:spacing w:after="120" w:line="280" w:lineRule="exact"/>
        <w:rPr>
          <w:rFonts w:ascii="Verdana" w:eastAsia="Times New Roman" w:hAnsi="Verdana" w:cs="Calibri"/>
        </w:rPr>
      </w:pPr>
      <w:r w:rsidRPr="002A5A5B">
        <w:rPr>
          <w:rFonts w:ascii="Verdana" w:eastAsia="Times New Roman" w:hAnsi="Verdana" w:cs="Calibri"/>
        </w:rPr>
        <w:t>Oblastní ředitelství Olomouc, Nerudova 1, 779 00 Olomouc</w:t>
      </w:r>
    </w:p>
    <w:p w:rsidR="00F422D3" w:rsidRDefault="002A5A5B" w:rsidP="002A5A5B">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 xml:space="preserve">číslo smlouvy: </w:t>
      </w:r>
      <w:r w:rsidRPr="002A5A5B">
        <w:rPr>
          <w:b/>
        </w:rPr>
        <w:t>"[</w:t>
      </w:r>
      <w:r w:rsidRPr="002A5A5B">
        <w:rPr>
          <w:b/>
          <w:highlight w:val="green"/>
        </w:rPr>
        <w:t>VLOŽÍ OBJEDNATEL</w:t>
      </w:r>
      <w:r w:rsidRPr="002A5A5B">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33439">
      <w:pPr>
        <w:pStyle w:val="Text1-1"/>
      </w:pPr>
      <w:r w:rsidRPr="00F97DBD">
        <w:t xml:space="preserve">Objednatel oznámil uveřejněním </w:t>
      </w:r>
      <w:r>
        <w:t xml:space="preserve">na profilu zadavatele: </w:t>
      </w:r>
      <w:hyperlink r:id="rId11" w:history="1">
        <w:r w:rsidR="00F33439" w:rsidRPr="001C5BD0">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930F0F">
        <w:t>63320</w:t>
      </w:r>
      <w:r w:rsidR="00F33439">
        <w:t>218</w:t>
      </w:r>
      <w:r w:rsidR="00930F0F">
        <w:t xml:space="preserve"> </w:t>
      </w:r>
      <w:r w:rsidRPr="00F97DBD">
        <w:t xml:space="preserve">svůj úmysl zadat </w:t>
      </w:r>
      <w:r>
        <w:t xml:space="preserve">ve výběrovém řízení </w:t>
      </w:r>
      <w:r w:rsidRPr="00F97DBD">
        <w:t xml:space="preserve">veřejnou zakázku s názvem </w:t>
      </w:r>
      <w:r w:rsidR="00930F0F" w:rsidRPr="00930F0F">
        <w:rPr>
          <w:b/>
        </w:rPr>
        <w:t>„</w:t>
      </w:r>
      <w:r w:rsidR="00F33439" w:rsidRPr="00F33439">
        <w:rPr>
          <w:b/>
        </w:rPr>
        <w:t>Oprava propustku v km 142,573 na trati Brno – Vlárský průsmyk</w:t>
      </w:r>
      <w:r w:rsidR="00930F0F" w:rsidRPr="00930F0F">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48464F">
        <w:rPr>
          <w:b/>
          <w:highlight w:val="yellow"/>
        </w:rPr>
        <w:fldChar w:fldCharType="begin"/>
      </w:r>
      <w:r w:rsidRPr="0048464F">
        <w:rPr>
          <w:b/>
          <w:highlight w:val="yellow"/>
        </w:rPr>
        <w:instrText xml:space="preserve"> MACROBUTTON  VložitŠirokouMezeru "[VLOŽÍ ZHOTOVITEL]" </w:instrText>
      </w:r>
      <w:r w:rsidRPr="0048464F">
        <w:rPr>
          <w:b/>
          <w:highlight w:val="yellow"/>
        </w:rPr>
        <w:fldChar w:fldCharType="end"/>
      </w:r>
      <w:r w:rsidRPr="0048464F">
        <w:rPr>
          <w:b/>
        </w:rPr>
        <w:t>Kč</w:t>
      </w:r>
    </w:p>
    <w:p w:rsidR="00F24489" w:rsidRPr="00F97DBD" w:rsidRDefault="0048464F"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rsidR="00F24489" w:rsidRDefault="00B84ECC" w:rsidP="00F24489">
      <w:pPr>
        <w:pStyle w:val="Textbezslovn"/>
      </w:pPr>
      <w:r w:rsidRPr="0048464F">
        <w:t xml:space="preserve">Rekapitulace </w:t>
      </w:r>
      <w:r w:rsidR="00F24489" w:rsidRPr="0048464F">
        <w:t>Ceny Díla dle stavebních objektů (SO) a provozních souborů (PS) je uveden</w:t>
      </w:r>
      <w:r w:rsidRPr="0048464F">
        <w:t>a</w:t>
      </w:r>
      <w:r w:rsidR="00F24489" w:rsidRPr="0048464F">
        <w:t xml:space="preserve"> v </w:t>
      </w:r>
      <w:hyperlink w:anchor="ListAnnex04" w:history="1">
        <w:r w:rsidR="00F24489" w:rsidRPr="0048464F">
          <w:rPr>
            <w:rStyle w:val="Hypertextovodkaz"/>
            <w:rFonts w:cs="Calibri"/>
            <w:color w:val="auto"/>
          </w:rPr>
          <w:t>Příloze č. 4</w:t>
        </w:r>
      </w:hyperlink>
      <w:r w:rsidR="00F24489" w:rsidRPr="0048464F">
        <w:t xml:space="preserve"> této Smlouvy.</w:t>
      </w:r>
    </w:p>
    <w:p w:rsidR="00F24489" w:rsidRPr="0048464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obnovení </w:t>
      </w:r>
      <w:r w:rsidRPr="0048464F">
        <w:t>jednání o Smlouvě ani zvýšení Ceny za Dílo ani zrušení Smlouvy.</w:t>
      </w:r>
    </w:p>
    <w:p w:rsidR="00F24489" w:rsidRPr="0048464F" w:rsidRDefault="00F24489" w:rsidP="00F24489">
      <w:pPr>
        <w:pStyle w:val="Text1-1"/>
      </w:pPr>
      <w:r w:rsidRPr="0048464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64F">
        <w:rPr>
          <w:rStyle w:val="OdstavecsmlouvyChar"/>
          <w:rFonts w:eastAsiaTheme="minorHAnsi"/>
        </w:rPr>
        <w:t xml:space="preserve"> </w:t>
      </w:r>
      <w:r w:rsidRPr="0048464F">
        <w:t xml:space="preserve">režim přenesení daňové povinnosti dle ust. § 92a, </w:t>
      </w:r>
      <w:r w:rsidR="0048464F" w:rsidRPr="0048464F">
        <w:t>zákona č.</w:t>
      </w:r>
      <w:r w:rsidRPr="0048464F">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48464F" w:rsidRPr="0048464F">
        <w:t>dle ust</w:t>
      </w:r>
      <w:r w:rsidRPr="0048464F">
        <w:t>. § 92a odst. 1 zákona o DPH.</w:t>
      </w:r>
    </w:p>
    <w:p w:rsidR="00F24489" w:rsidRPr="00F97DBD" w:rsidRDefault="00F24489" w:rsidP="00F24489">
      <w:pPr>
        <w:pStyle w:val="Text1-1"/>
      </w:pPr>
      <w:r w:rsidRPr="0048464F">
        <w:t xml:space="preserve">Smluvní strany se dohodly, že stane-li se Zhotovitel nespolehlivým plátcem, ve </w:t>
      </w:r>
      <w:r w:rsidR="0048464F" w:rsidRPr="0048464F">
        <w:t>smyslu ust</w:t>
      </w:r>
      <w:r w:rsidRPr="0048464F">
        <w:t>. § 106a, zákona o DPH, nebo daňový doklad Zhotovitele</w:t>
      </w:r>
      <w:r w:rsidRPr="00F97DBD">
        <w:t xml:space="preserv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48464F" w:rsidRDefault="0048464F" w:rsidP="0048464F">
      <w:pPr>
        <w:pStyle w:val="Text1-1"/>
        <w:rPr>
          <w:b/>
        </w:rPr>
      </w:pPr>
      <w:r>
        <w:t>Zhotovitel se v souladu se svou nabídkou zavazuje dokončit a předat Objednateli Dílo nebo jeho jednotlivé části v termínech uvedených v harmonogramu obsaženém v </w:t>
      </w:r>
      <w:hyperlink r:id="rId13" w:anchor="ListAnnex04" w:history="1">
        <w:r>
          <w:rPr>
            <w:rStyle w:val="Hypertextovodkaz"/>
            <w:rFonts w:cs="Calibri"/>
          </w:rPr>
          <w:t>Příloze č. 5</w:t>
        </w:r>
      </w:hyperlink>
      <w:r>
        <w:t xml:space="preserve"> této Smlouvy, který obsahuje i technologický postup výlukových prací (dále jen „</w:t>
      </w:r>
      <w:r>
        <w:rPr>
          <w:b/>
          <w:bCs/>
        </w:rPr>
        <w:t>Harmonogram postupu prací</w:t>
      </w:r>
      <w:r>
        <w:t>“), který je rozdělen dle jednotlivých stavebních objektů, provozních souborů či jiných částí plnění.</w:t>
      </w:r>
    </w:p>
    <w:p w:rsidR="0048464F" w:rsidRDefault="0048464F" w:rsidP="0048464F">
      <w:pPr>
        <w:tabs>
          <w:tab w:val="num" w:pos="737"/>
        </w:tabs>
        <w:spacing w:after="120"/>
        <w:ind w:left="737" w:hanging="737"/>
        <w:jc w:val="both"/>
      </w:pPr>
      <w:r>
        <w:rPr>
          <w:rFonts w:eastAsia="Calibri" w:cs="Calibri"/>
          <w:b/>
        </w:rPr>
        <w:tab/>
        <w:t xml:space="preserve">Zhotovitel se v souladu se svou nabídkou zavazuje dokončit a předat Objednateli Dílo do </w:t>
      </w:r>
      <w:r w:rsidR="00F33439">
        <w:rPr>
          <w:rFonts w:eastAsia="Calibri" w:cs="Calibri"/>
          <w:b/>
        </w:rPr>
        <w:t>červen</w:t>
      </w:r>
      <w:r>
        <w:rPr>
          <w:rFonts w:eastAsia="Calibri" w:cs="Calibri"/>
          <w:b/>
        </w:rPr>
        <w:t xml:space="preserve"> 202</w:t>
      </w:r>
      <w:r w:rsidR="00F33439">
        <w:rPr>
          <w:rFonts w:eastAsia="Calibri" w:cs="Calibri"/>
          <w:b/>
        </w:rPr>
        <w:t>1</w:t>
      </w:r>
      <w:r>
        <w:rPr>
          <w:rFonts w:eastAsia="Calibri" w:cs="Calibri"/>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DA1CFE" w:rsidRDefault="00F24489" w:rsidP="00F24489">
      <w:pPr>
        <w:pStyle w:val="Text1-1"/>
      </w:pPr>
      <w:r w:rsidRPr="00F97DBD">
        <w:lastRenderedPageBreak/>
        <w:t xml:space="preserve">Místo plnění je dáno místem, v němž má být Dílo dle </w:t>
      </w:r>
      <w:r>
        <w:t xml:space="preserve">Dokumentace pro stavební </w:t>
      </w:r>
      <w:r w:rsidRPr="00DA1CFE">
        <w:t>povolení a příslušných veřejnoprávních povolení umístěno.</w:t>
      </w:r>
    </w:p>
    <w:p w:rsidR="00F24489" w:rsidRPr="00DA1CFE" w:rsidRDefault="00F24489" w:rsidP="00F24489">
      <w:pPr>
        <w:pStyle w:val="Text1-1"/>
      </w:pPr>
      <w:r w:rsidRPr="00DA1CFE">
        <w:t>Zhotovitel se zavazuje zajistit realizaci prací na Díle tak, aby v případě nepřetržitých výluk trvajících více než 36 hodin probíhala realizace prací na Díle minimálně 16 hodin denně včetně sobot a nedělí.</w:t>
      </w:r>
    </w:p>
    <w:p w:rsidR="00F24489" w:rsidRPr="00DA1CFE" w:rsidRDefault="00214C3E" w:rsidP="00214C3E">
      <w:pPr>
        <w:pStyle w:val="Nadpis1-1"/>
      </w:pPr>
      <w:r w:rsidRPr="00214C3E">
        <w:t xml:space="preserve">ZÁRUKY, DALŠÍ USTANOVENÍ A ODLIŠNÁ USTANOVENÍ OD </w:t>
      </w:r>
      <w:r w:rsidRPr="00DA1CFE">
        <w:t>OBCHODNÍCH PODMÍNEK</w:t>
      </w:r>
    </w:p>
    <w:p w:rsidR="00442CA1" w:rsidRDefault="00442CA1" w:rsidP="00442CA1">
      <w:pPr>
        <w:pStyle w:val="Text1-1"/>
        <w:numPr>
          <w:ilvl w:val="1"/>
          <w:numId w:val="38"/>
        </w:numPr>
      </w:pPr>
      <w:r>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442CA1" w:rsidRDefault="00442CA1" w:rsidP="00442CA1">
      <w:pPr>
        <w:pStyle w:val="Text1-1"/>
        <w:numPr>
          <w:ilvl w:val="1"/>
          <w:numId w:val="38"/>
        </w:numPr>
      </w:pPr>
      <w:r>
        <w:t>Zhotovitel může požádat o výluku nad rámec výluk uvedených v nabídce Zhotovitele. Může se</w:t>
      </w:r>
      <w:r>
        <w:rPr>
          <w:rStyle w:val="OdstavecsmlouvyChar"/>
          <w:rFonts w:eastAsiaTheme="minorHAnsi"/>
        </w:rPr>
        <w:t xml:space="preserve"> </w:t>
      </w:r>
      <w:r>
        <w:t xml:space="preserve">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  </w:t>
      </w:r>
    </w:p>
    <w:p w:rsidR="00442CA1" w:rsidRDefault="00442CA1" w:rsidP="00442CA1">
      <w:pPr>
        <w:pStyle w:val="Text1-1"/>
        <w:numPr>
          <w:ilvl w:val="1"/>
          <w:numId w:val="38"/>
        </w:numPr>
      </w:pPr>
      <w:r>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rsidR="00442CA1" w:rsidRDefault="00442CA1" w:rsidP="00442CA1">
      <w:pPr>
        <w:pStyle w:val="Text1-1"/>
        <w:numPr>
          <w:ilvl w:val="1"/>
          <w:numId w:val="38"/>
        </w:numPr>
      </w:pPr>
      <w:r>
        <w:t xml:space="preserve">Smluvní strany se dohodly, že ustanovení odst. 2.8, 4.3, 7.3 a 20.24 Obchodních podmínek se nepoužijí. </w:t>
      </w:r>
    </w:p>
    <w:p w:rsidR="00442CA1" w:rsidRDefault="00442CA1" w:rsidP="00442CA1">
      <w:pPr>
        <w:pStyle w:val="Text1-1"/>
        <w:numPr>
          <w:ilvl w:val="1"/>
          <w:numId w:val="38"/>
        </w:numPr>
        <w:rPr>
          <w:rFonts w:cs="Times New Roman"/>
        </w:rPr>
      </w:pPr>
      <w:r>
        <w:t>Splatnost faktury - daňového dokladu je třicet (30) dnů od doručení řádného daňového dokladu Objednateli. Ustanovení odst. 13.5 Obchodních podmínek se nepoužije.</w:t>
      </w:r>
    </w:p>
    <w:p w:rsidR="00442CA1" w:rsidRDefault="00442CA1" w:rsidP="00442CA1">
      <w:pPr>
        <w:pStyle w:val="Text1-1"/>
        <w:numPr>
          <w:ilvl w:val="1"/>
          <w:numId w:val="38"/>
        </w:numPr>
      </w:pPr>
      <w:r>
        <w:t xml:space="preserve">V bodě 2.14 Obchodních podmínek se lhůta upravuje na pět (5) dní. </w:t>
      </w:r>
    </w:p>
    <w:p w:rsidR="00442CA1" w:rsidRDefault="00442CA1" w:rsidP="00442CA1">
      <w:pPr>
        <w:pStyle w:val="Text1-1"/>
        <w:numPr>
          <w:ilvl w:val="1"/>
          <w:numId w:val="38"/>
        </w:numPr>
      </w:pPr>
      <w:r>
        <w:t>V bodě 3.6.2 Obchodních podmínek se lhůta upravuje na sedm (7)dní.</w:t>
      </w:r>
    </w:p>
    <w:p w:rsidR="00442CA1" w:rsidRDefault="00442CA1" w:rsidP="00442CA1">
      <w:pPr>
        <w:pStyle w:val="Text1-1"/>
        <w:numPr>
          <w:ilvl w:val="1"/>
          <w:numId w:val="38"/>
        </w:numPr>
      </w:pPr>
      <w:r>
        <w:t xml:space="preserve">Bod 5.2 Obchodních podmínek se mění takto: </w:t>
      </w:r>
    </w:p>
    <w:p w:rsidR="00442CA1" w:rsidRDefault="00442CA1" w:rsidP="00442CA1">
      <w:pPr>
        <w:pStyle w:val="Textbezslovn"/>
      </w:pPr>
      <w:r>
        <w:t>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doložit tyto doklady nejpozději do dvou (2) pracovních dnů od žádosti Objednatele.</w:t>
      </w:r>
    </w:p>
    <w:p w:rsidR="00442CA1" w:rsidRDefault="00442CA1" w:rsidP="00442CA1">
      <w:pPr>
        <w:pStyle w:val="Text1-1"/>
        <w:numPr>
          <w:ilvl w:val="1"/>
          <w:numId w:val="38"/>
        </w:numPr>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442CA1" w:rsidRDefault="00442CA1" w:rsidP="00442CA1">
      <w:pPr>
        <w:pStyle w:val="Text1-1"/>
        <w:numPr>
          <w:ilvl w:val="1"/>
          <w:numId w:val="38"/>
        </w:numPr>
      </w:pPr>
      <w:r>
        <w:t>V bodě 6.12 Obchodních podmínek se mění poslední věta následovně: Kontrola bude prováděna dle části páté Směrnice SŽDC č. 120 - Dodržování zákazu kouření, požívání alkoholických nápojů a užívání jiných návykových látek“</w:t>
      </w:r>
    </w:p>
    <w:p w:rsidR="00442CA1" w:rsidRDefault="00442CA1" w:rsidP="00442CA1">
      <w:pPr>
        <w:pStyle w:val="Text1-1"/>
        <w:numPr>
          <w:ilvl w:val="1"/>
          <w:numId w:val="38"/>
        </w:numPr>
      </w:pPr>
      <w:r>
        <w:lastRenderedPageBreak/>
        <w:t>Bod 7.5.2 Obchodních podmínek se mění takto:</w:t>
      </w:r>
    </w:p>
    <w:p w:rsidR="00442CA1" w:rsidRDefault="00442CA1" w:rsidP="00442CA1">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442CA1" w:rsidRDefault="00442CA1" w:rsidP="00442CA1">
      <w:pPr>
        <w:pStyle w:val="Text1-1"/>
        <w:numPr>
          <w:ilvl w:val="1"/>
          <w:numId w:val="38"/>
        </w:numPr>
      </w:pPr>
      <w:r>
        <w:t>V bodě 7.5.3 Obchodních podmínek se lhůta upravuje na pět (5) dní.</w:t>
      </w:r>
    </w:p>
    <w:p w:rsidR="00442CA1" w:rsidRDefault="00442CA1" w:rsidP="00442CA1">
      <w:pPr>
        <w:pStyle w:val="Text1-1"/>
        <w:numPr>
          <w:ilvl w:val="1"/>
          <w:numId w:val="38"/>
        </w:numPr>
      </w:pPr>
      <w:r>
        <w:t>Ustanovení bodu 9.2 až 9.5 a bodu 9.7. Obchodních podmínek, stejně jako související ustanovení týkající se přejímacích zkoušek, se nepoužijí.</w:t>
      </w:r>
    </w:p>
    <w:p w:rsidR="00442CA1" w:rsidRDefault="00442CA1" w:rsidP="00442CA1">
      <w:pPr>
        <w:pStyle w:val="Text1-1"/>
        <w:numPr>
          <w:ilvl w:val="1"/>
          <w:numId w:val="38"/>
        </w:numPr>
      </w:pPr>
      <w:r>
        <w:t>V bodě 11.3 Obchodních podmínek se lhůta upravuje na tři (3) dny.</w:t>
      </w:r>
    </w:p>
    <w:p w:rsidR="00442CA1" w:rsidRDefault="00442CA1" w:rsidP="00442CA1">
      <w:pPr>
        <w:pStyle w:val="Text1-1"/>
        <w:numPr>
          <w:ilvl w:val="1"/>
          <w:numId w:val="38"/>
        </w:numPr>
      </w:pPr>
      <w:r>
        <w:t>V bodě 11.4 Obchodních podmínek se lhůta upravuje na dva (2) dny.</w:t>
      </w:r>
    </w:p>
    <w:p w:rsidR="00442CA1" w:rsidRDefault="00442CA1" w:rsidP="00442CA1">
      <w:pPr>
        <w:pStyle w:val="Text1-1"/>
        <w:numPr>
          <w:ilvl w:val="1"/>
          <w:numId w:val="38"/>
        </w:numPr>
      </w:pPr>
      <w:r>
        <w:t>V bodě 11.5 Obchodních podmínek se lhůta upravuje na tři (3) dny.</w:t>
      </w:r>
    </w:p>
    <w:p w:rsidR="00442CA1" w:rsidRDefault="00442CA1" w:rsidP="00442CA1">
      <w:pPr>
        <w:pStyle w:val="Text1-1"/>
        <w:numPr>
          <w:ilvl w:val="1"/>
          <w:numId w:val="38"/>
        </w:numPr>
      </w:pPr>
      <w:r>
        <w:t>V bodě 11.6 Obchodních podmínek se lhůta upravuje na dva (2) dny.</w:t>
      </w:r>
    </w:p>
    <w:p w:rsidR="00442CA1" w:rsidRDefault="00442CA1" w:rsidP="00442CA1">
      <w:pPr>
        <w:pStyle w:val="Text1-1"/>
        <w:numPr>
          <w:ilvl w:val="1"/>
          <w:numId w:val="38"/>
        </w:numPr>
      </w:pPr>
      <w:r>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442CA1" w:rsidRDefault="00442CA1" w:rsidP="00442CA1">
      <w:pPr>
        <w:pStyle w:val="Text1-1"/>
        <w:numPr>
          <w:ilvl w:val="1"/>
          <w:numId w:val="38"/>
        </w:numPr>
      </w:pPr>
      <w:r>
        <w:t>Bod 13.9 Obchodních podmínek se mění takto: Datem uskutečnění dílčích zdanitelných plnění na daňových dokladech vystavených Zhotovitelem bude vždy poslední den kalendářního měsíce.</w:t>
      </w:r>
    </w:p>
    <w:p w:rsidR="00442CA1" w:rsidRDefault="00442CA1" w:rsidP="00442CA1">
      <w:pPr>
        <w:pStyle w:val="Text1-1"/>
        <w:numPr>
          <w:ilvl w:val="1"/>
          <w:numId w:val="38"/>
        </w:numPr>
      </w:pPr>
      <w:r>
        <w:t>V bodě 17.10 Obchodních podmínek se za text „… v Nabídce zhotovitele“ doplňuje text „případně Sborníku prací pro údržbu a opravy železniční infrastruktury v platném znění,“.</w:t>
      </w:r>
    </w:p>
    <w:p w:rsidR="00442CA1" w:rsidRDefault="00442CA1" w:rsidP="00442CA1">
      <w:pPr>
        <w:pStyle w:val="Text1-1"/>
        <w:numPr>
          <w:ilvl w:val="1"/>
          <w:numId w:val="38"/>
        </w:numPr>
      </w:pPr>
      <w:r>
        <w:t xml:space="preserve">Bod 19.4 Obchodních podmínek se mění takto: Zhotovitel poskytuje záruku za jakost v záručních dobách stanovených v Technických kvalitativních podmínkách staveb státních drah. </w:t>
      </w:r>
    </w:p>
    <w:p w:rsidR="00442CA1" w:rsidRDefault="00442CA1" w:rsidP="00442CA1">
      <w:pPr>
        <w:pStyle w:val="Text1-1"/>
        <w:numPr>
          <w:ilvl w:val="1"/>
          <w:numId w:val="38"/>
        </w:numPr>
      </w:pPr>
      <w:r>
        <w:t>Smluvní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442CA1" w:rsidRDefault="00442CA1" w:rsidP="00442CA1">
      <w:pPr>
        <w:pStyle w:val="Odstavec1-1a"/>
        <w:numPr>
          <w:ilvl w:val="0"/>
          <w:numId w:val="29"/>
        </w:numPr>
      </w:pPr>
      <w:r>
        <w:t>u pokut stanovených jako 0,1 % ceny nemůže výsledná částka pokuty za každý případ porušení povinnosti nebo za každý den započatý den prodlení méně než 10.000,- Kč</w:t>
      </w:r>
    </w:p>
    <w:p w:rsidR="00442CA1" w:rsidRDefault="00442CA1" w:rsidP="00442CA1">
      <w:pPr>
        <w:pStyle w:val="Odstavec1-1a"/>
        <w:numPr>
          <w:ilvl w:val="0"/>
          <w:numId w:val="29"/>
        </w:numPr>
      </w:pPr>
      <w:r>
        <w:lastRenderedPageBreak/>
        <w:t>u pokut stanovených jako 0,5 % ceny nemůže výsledná částka pokuty za každý případ porušení povinnosti nebo za každý den započatý den prodlení méně než 20.000,- Kč</w:t>
      </w:r>
    </w:p>
    <w:p w:rsidR="00442CA1" w:rsidRDefault="00442CA1" w:rsidP="00442CA1">
      <w:pPr>
        <w:pStyle w:val="Odstavec1-1a"/>
        <w:numPr>
          <w:ilvl w:val="0"/>
          <w:numId w:val="29"/>
        </w:numPr>
      </w:pPr>
      <w:r>
        <w:t>u pokut stanovených jako 0,05 % ceny nemůže výsledná částka pokuty za každý případ porušení povinnosti nebo za každý den započatý den prodlení méně než 5.000,- Kč</w:t>
      </w:r>
    </w:p>
    <w:p w:rsidR="00442CA1" w:rsidRDefault="00442CA1" w:rsidP="00442CA1">
      <w:pPr>
        <w:pStyle w:val="Text1-1"/>
        <w:numPr>
          <w:ilvl w:val="1"/>
          <w:numId w:val="38"/>
        </w:numPr>
      </w:pPr>
      <w:r>
        <w:t>V bodě 20.12 Obchodních podmínek se za text „za každý započatý měsíc prodlení“ nahrazuje textem „za každý den prodlení“.</w:t>
      </w:r>
    </w:p>
    <w:p w:rsidR="00442CA1" w:rsidRDefault="00442CA1" w:rsidP="00442CA1">
      <w:pPr>
        <w:pStyle w:val="Text1-1"/>
        <w:numPr>
          <w:ilvl w:val="1"/>
          <w:numId w:val="38"/>
        </w:numPr>
      </w:pPr>
      <w:r>
        <w:t>V bodě 21.1.1 a 21.1.2 Obchodních podmínek se lhůty upravují na čtrnáct (14) dní.</w:t>
      </w:r>
    </w:p>
    <w:p w:rsidR="00442CA1" w:rsidRDefault="00442CA1" w:rsidP="00442CA1">
      <w:pPr>
        <w:pStyle w:val="Text1-1"/>
        <w:numPr>
          <w:ilvl w:val="1"/>
          <w:numId w:val="38"/>
        </w:numPr>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33439" w:rsidRDefault="00F33439" w:rsidP="00214C3E">
      <w:pPr>
        <w:pStyle w:val="Text1-1"/>
      </w:pPr>
      <w:r>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 </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9849AD">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DD046D"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DD046D" w:rsidRPr="00516813">
        <w:t xml:space="preserve">ustanovení </w:t>
      </w:r>
      <w:r w:rsidR="00DD046D">
        <w:t>§ 504</w:t>
      </w:r>
      <w:r w:rsidRPr="00516813">
        <w:t xml:space="preserve"> občanského zákoníku, a zavazuje se neprodleně písemně sdělit Objednateli skutečnost, že takto označené informace přestaly naplňovat znaky obchodního tajemství.</w:t>
      </w:r>
    </w:p>
    <w:p w:rsidR="00214C3E" w:rsidRPr="002A5A5B"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A5A5B" w:rsidRDefault="002A5A5B" w:rsidP="002A5A5B">
      <w:pPr>
        <w:pStyle w:val="Text1-1"/>
        <w:numPr>
          <w:ilvl w:val="0"/>
          <w:numId w:val="0"/>
        </w:numPr>
        <w:ind w:left="737"/>
      </w:pPr>
    </w:p>
    <w:p w:rsidR="002A5A5B" w:rsidRPr="00516813" w:rsidRDefault="002A5A5B" w:rsidP="002A5A5B">
      <w:pPr>
        <w:pStyle w:val="Text1-1"/>
        <w:numPr>
          <w:ilvl w:val="0"/>
          <w:numId w:val="0"/>
        </w:numPr>
        <w:ind w:left="737"/>
        <w:rPr>
          <w:b/>
        </w:rPr>
      </w:pP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235"/>
        <w:gridCol w:w="6401"/>
      </w:tblGrid>
      <w:tr w:rsidR="00DD046D" w:rsidRPr="00DD046D" w:rsidTr="00DD046D">
        <w:trPr>
          <w:jc w:val="center"/>
        </w:trPr>
        <w:tc>
          <w:tcPr>
            <w:tcW w:w="1294" w:type="pct"/>
            <w:hideMark/>
          </w:tcPr>
          <w:bookmarkStart w:id="1" w:name="ListAnnex01"/>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"Annex01"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1</w:t>
            </w:r>
            <w:bookmarkEnd w:id="1"/>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Obchodní podmínky – OP/R/18/19</w:t>
            </w:r>
          </w:p>
        </w:tc>
      </w:tr>
      <w:bookmarkStart w:id="2" w:name="ListAnnex02"/>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"Annex02"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2</w:t>
            </w:r>
            <w:bookmarkEnd w:id="2"/>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rPr>
                <w:rFonts w:ascii="Verdana" w:eastAsia="Verdana" w:hAnsi="Verdana" w:cs="Times New Roman"/>
              </w:rPr>
            </w:pPr>
            <w:r w:rsidRPr="00DD046D">
              <w:rPr>
                <w:rFonts w:ascii="Verdana" w:eastAsia="Verdana" w:hAnsi="Verdana" w:cs="Times New Roman"/>
              </w:rPr>
              <w:t xml:space="preserve">Technické podmínky: </w:t>
            </w:r>
            <w:r w:rsidRPr="00DD046D">
              <w:rPr>
                <w:rFonts w:ascii="Verdana" w:eastAsia="Verdana" w:hAnsi="Verdana" w:cs="Times New Roman"/>
              </w:rPr>
              <w:br/>
              <w:t xml:space="preserve">a) Technické kvalitativní podmínky staveb státních drah (TKP Staveb) </w:t>
            </w:r>
          </w:p>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b) Všeobecné technické podmínky realizace stavby – VTP/R/12/19</w:t>
            </w:r>
          </w:p>
        </w:tc>
      </w:tr>
      <w:bookmarkStart w:id="3" w:name="ListAnnex03"/>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"Annex03"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3</w:t>
            </w:r>
            <w:bookmarkEnd w:id="3"/>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Související dokumenty</w:t>
            </w:r>
          </w:p>
        </w:tc>
      </w:tr>
      <w:bookmarkStart w:id="4" w:name="ListAnnex04"/>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"Annex04"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4</w:t>
            </w:r>
            <w:bookmarkEnd w:id="4"/>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Rozpis Ceny Díla</w:t>
            </w:r>
          </w:p>
        </w:tc>
      </w:tr>
      <w:bookmarkStart w:id="5" w:name="ListAnnex05"/>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"Annex05"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5</w:t>
            </w:r>
            <w:bookmarkEnd w:id="5"/>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Harmonogram postupu prací</w:t>
            </w:r>
          </w:p>
        </w:tc>
      </w:tr>
      <w:bookmarkStart w:id="6" w:name="ListAnnex06"/>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"Annex06"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6</w:t>
            </w:r>
            <w:bookmarkEnd w:id="6"/>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Oprávněné osoby</w:t>
            </w:r>
          </w:p>
        </w:tc>
      </w:tr>
      <w:bookmarkStart w:id="7" w:name="ListAnnex07"/>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"Annex07"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7</w:t>
            </w:r>
            <w:bookmarkEnd w:id="7"/>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Seznam požadovaných pojištění</w:t>
            </w:r>
          </w:p>
        </w:tc>
      </w:tr>
      <w:tr w:rsidR="00DD046D" w:rsidRPr="00DD046D" w:rsidTr="00DD046D">
        <w:trPr>
          <w:jc w:val="center"/>
        </w:trPr>
        <w:tc>
          <w:tcPr>
            <w:tcW w:w="1294" w:type="pct"/>
            <w:hideMark/>
          </w:tcPr>
          <w:p w:rsidR="00DD046D" w:rsidRPr="00DD046D" w:rsidRDefault="00CB600C" w:rsidP="00DD046D">
            <w:pPr>
              <w:spacing w:after="120"/>
              <w:ind w:left="737"/>
              <w:jc w:val="both"/>
              <w:rPr>
                <w:rFonts w:ascii="Verdana" w:eastAsia="Verdana" w:hAnsi="Verdana" w:cs="Times New Roman"/>
              </w:rPr>
            </w:pPr>
            <w:hyperlink r:id="rId14" w:anchor="Annex09" w:history="1">
              <w:r w:rsidR="00DD046D" w:rsidRPr="00DD046D">
                <w:rPr>
                  <w:rFonts w:ascii="Verdana" w:eastAsia="Verdana" w:hAnsi="Verdana" w:cs="Calibri"/>
                  <w:noProof/>
                  <w:u w:val="single"/>
                </w:rPr>
                <w:t>Příloha č. 8</w:t>
              </w:r>
            </w:hyperlink>
            <w:r w:rsidR="00DD046D" w:rsidRPr="00DD046D">
              <w:rPr>
                <w:rFonts w:ascii="Verdana" w:eastAsia="Verdana" w:hAnsi="Verdana" w:cs="Times New Roman"/>
              </w:rPr>
              <w:t>:</w:t>
            </w:r>
          </w:p>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u w:val="single"/>
              </w:rPr>
              <w:t>Příloha č. 9</w:t>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Seznam poddodavatelů</w:t>
            </w:r>
          </w:p>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Zmocnění Vedoucího Zhotovitele</w:t>
            </w:r>
          </w:p>
        </w:tc>
      </w:tr>
    </w:tbl>
    <w:p w:rsidR="00DD046D" w:rsidRPr="00DD046D" w:rsidRDefault="00DD046D" w:rsidP="00DD046D">
      <w:pPr>
        <w:tabs>
          <w:tab w:val="left" w:pos="708"/>
        </w:tabs>
        <w:spacing w:before="60" w:after="60"/>
        <w:ind w:left="567"/>
        <w:jc w:val="both"/>
        <w:rPr>
          <w:rFonts w:ascii="Verdana" w:eastAsia="Verdana" w:hAnsi="Verdana" w:cs="Times New Roman"/>
        </w:rPr>
      </w:pPr>
    </w:p>
    <w:p w:rsidR="00DD046D" w:rsidRPr="00DD046D" w:rsidRDefault="00DD046D" w:rsidP="00DD046D">
      <w:pPr>
        <w:spacing w:after="120"/>
        <w:jc w:val="both"/>
        <w:rPr>
          <w:rFonts w:ascii="Verdana" w:eastAsia="Verdana" w:hAnsi="Verdana" w:cs="Times New Roman"/>
          <w:b/>
        </w:rPr>
      </w:pPr>
      <w:r w:rsidRPr="00DD046D">
        <w:rPr>
          <w:rFonts w:ascii="Verdana" w:eastAsia="Verdana" w:hAnsi="Verdana" w:cs="Times New Roman"/>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DD046D" w:rsidRPr="00DD046D" w:rsidTr="00DD046D">
        <w:trPr>
          <w:jc w:val="center"/>
        </w:trPr>
        <w:tc>
          <w:tcPr>
            <w:tcW w:w="4826" w:type="dxa"/>
          </w:tcPr>
          <w:p w:rsidR="00DD046D" w:rsidRPr="00DD046D" w:rsidRDefault="00DD046D" w:rsidP="00DD046D">
            <w:pPr>
              <w:spacing w:after="120" w:line="280" w:lineRule="exact"/>
              <w:rPr>
                <w:rFonts w:ascii="Verdana" w:eastAsia="Times New Roman" w:hAnsi="Verdana" w:cs="Calibri"/>
              </w:rPr>
            </w:pPr>
          </w:p>
          <w:p w:rsidR="00DD046D" w:rsidRPr="00DD046D" w:rsidRDefault="00DD046D" w:rsidP="00DD046D">
            <w:pPr>
              <w:spacing w:after="120" w:line="280" w:lineRule="exact"/>
              <w:rPr>
                <w:rFonts w:ascii="Verdana" w:eastAsia="Times New Roman" w:hAnsi="Verdana" w:cs="Calibri"/>
              </w:rPr>
            </w:pPr>
            <w:r w:rsidRPr="00DD046D">
              <w:rPr>
                <w:rFonts w:ascii="Verdana" w:eastAsia="Times New Roman" w:hAnsi="Verdana" w:cs="Calibri"/>
              </w:rPr>
              <w:t>V Olomouci dne ………………………</w:t>
            </w:r>
          </w:p>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rPr>
                <w:rFonts w:ascii="Verdana" w:eastAsia="Verdana" w:hAnsi="Verdana" w:cs="Calibri"/>
                <w:sz w:val="22"/>
                <w:szCs w:val="22"/>
              </w:rPr>
            </w:pPr>
          </w:p>
        </w:tc>
        <w:tc>
          <w:tcPr>
            <w:tcW w:w="4826" w:type="dxa"/>
          </w:tcPr>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rPr>
                <w:rFonts w:ascii="Verdana" w:eastAsia="Times New Roman" w:hAnsi="Verdana" w:cs="Calibri"/>
              </w:rPr>
            </w:pPr>
            <w:r w:rsidRPr="00DD046D">
              <w:rPr>
                <w:rFonts w:ascii="Verdana" w:eastAsia="Times New Roman" w:hAnsi="Verdana" w:cs="Calibri"/>
              </w:rPr>
              <w:t>V ……………………… dne ………………………</w:t>
            </w:r>
          </w:p>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rPr>
                <w:rFonts w:ascii="Verdana" w:eastAsia="Verdana" w:hAnsi="Verdana" w:cs="Calibri"/>
                <w:sz w:val="22"/>
                <w:szCs w:val="22"/>
              </w:rPr>
            </w:pPr>
          </w:p>
        </w:tc>
      </w:tr>
      <w:tr w:rsidR="00DD046D" w:rsidRPr="00DD046D" w:rsidTr="00DD046D">
        <w:trPr>
          <w:jc w:val="center"/>
        </w:trPr>
        <w:tc>
          <w:tcPr>
            <w:tcW w:w="4826" w:type="dxa"/>
            <w:hideMark/>
          </w:tcPr>
          <w:p w:rsidR="00DD046D" w:rsidRPr="00DD046D" w:rsidRDefault="00DD046D" w:rsidP="00DD046D">
            <w:pPr>
              <w:spacing w:after="120" w:line="280" w:lineRule="exact"/>
              <w:jc w:val="center"/>
              <w:rPr>
                <w:rFonts w:ascii="Verdana" w:eastAsia="Times New Roman" w:hAnsi="Verdana" w:cs="Calibri"/>
              </w:rPr>
            </w:pPr>
            <w:r w:rsidRPr="00DD046D">
              <w:rPr>
                <w:rFonts w:ascii="Verdana" w:eastAsia="Times New Roman" w:hAnsi="Verdana" w:cs="Calibri"/>
              </w:rPr>
              <w:t>.............................................................</w:t>
            </w:r>
          </w:p>
          <w:p w:rsidR="00DD046D" w:rsidRPr="00DD046D" w:rsidRDefault="00DD046D" w:rsidP="00DD046D">
            <w:pPr>
              <w:spacing w:after="0" w:line="240" w:lineRule="auto"/>
              <w:jc w:val="center"/>
              <w:rPr>
                <w:rFonts w:ascii="Verdana" w:eastAsia="Times New Roman" w:hAnsi="Verdana" w:cs="Calibri"/>
                <w:b/>
              </w:rPr>
            </w:pPr>
            <w:r w:rsidRPr="00DD046D">
              <w:rPr>
                <w:rFonts w:ascii="Verdana" w:eastAsia="Times New Roman" w:hAnsi="Verdana" w:cs="Calibri"/>
                <w:b/>
              </w:rPr>
              <w:t>Ing. Ladislav Kašpar</w:t>
            </w:r>
          </w:p>
          <w:p w:rsidR="00DD046D" w:rsidRPr="00DD046D" w:rsidRDefault="00DD046D" w:rsidP="00F33439">
            <w:pPr>
              <w:spacing w:after="0" w:line="240" w:lineRule="auto"/>
              <w:jc w:val="center"/>
              <w:rPr>
                <w:rFonts w:ascii="Verdana" w:eastAsia="Times New Roman" w:hAnsi="Verdana" w:cs="Calibri"/>
              </w:rPr>
            </w:pPr>
            <w:r w:rsidRPr="00DD046D">
              <w:rPr>
                <w:rFonts w:ascii="Verdana" w:eastAsia="Times New Roman" w:hAnsi="Verdana" w:cs="Calibri"/>
              </w:rPr>
              <w:t>Ředitel</w:t>
            </w:r>
            <w:r w:rsidR="00F33439">
              <w:rPr>
                <w:rFonts w:ascii="Verdana" w:eastAsia="Times New Roman" w:hAnsi="Verdana" w:cs="Calibri"/>
              </w:rPr>
              <w:t xml:space="preserve"> </w:t>
            </w:r>
            <w:r>
              <w:rPr>
                <w:rFonts w:ascii="Verdana" w:eastAsia="Times New Roman" w:hAnsi="Verdana" w:cs="Calibri"/>
              </w:rPr>
              <w:t>Oblastního ředitelství Olomouc</w:t>
            </w:r>
          </w:p>
        </w:tc>
        <w:tc>
          <w:tcPr>
            <w:tcW w:w="4826" w:type="dxa"/>
            <w:hideMark/>
          </w:tcPr>
          <w:p w:rsidR="00DD046D" w:rsidRPr="00DD046D" w:rsidRDefault="00DD046D" w:rsidP="00DD046D">
            <w:pPr>
              <w:spacing w:after="120" w:line="280" w:lineRule="exact"/>
              <w:jc w:val="center"/>
              <w:rPr>
                <w:rFonts w:ascii="Verdana" w:eastAsia="Times New Roman" w:hAnsi="Verdana" w:cs="Calibri"/>
              </w:rPr>
            </w:pPr>
            <w:r w:rsidRPr="00DD046D">
              <w:rPr>
                <w:rFonts w:ascii="Verdana" w:eastAsia="Times New Roman" w:hAnsi="Verdana" w:cs="Calibri"/>
              </w:rPr>
              <w:t>.............................................................</w:t>
            </w:r>
          </w:p>
          <w:p w:rsidR="00DD046D" w:rsidRPr="00DD046D" w:rsidRDefault="00DD046D" w:rsidP="00DD046D">
            <w:pPr>
              <w:spacing w:after="0" w:line="240" w:lineRule="auto"/>
              <w:jc w:val="center"/>
              <w:rPr>
                <w:rFonts w:ascii="Verdana" w:eastAsia="Times New Roman" w:hAnsi="Verdana" w:cs="Calibri"/>
                <w:b/>
              </w:rPr>
            </w:pPr>
            <w:r w:rsidRPr="00DD046D">
              <w:rPr>
                <w:rFonts w:ascii="Verdana" w:eastAsia="Times New Roman" w:hAnsi="Verdana" w:cs="Calibri"/>
                <w:b/>
              </w:rPr>
              <w:t>…………………………………….</w:t>
            </w:r>
          </w:p>
          <w:p w:rsidR="00DD046D" w:rsidRPr="00DD046D" w:rsidRDefault="00DD046D" w:rsidP="00F33439">
            <w:pPr>
              <w:spacing w:after="0" w:line="240" w:lineRule="auto"/>
              <w:rPr>
                <w:rFonts w:ascii="Verdana" w:eastAsia="Times New Roman" w:hAnsi="Verdana" w:cs="Calibri"/>
              </w:rPr>
            </w:pPr>
            <w:r w:rsidRPr="00DD046D">
              <w:rPr>
                <w:rFonts w:ascii="Verdana" w:eastAsia="Times New Roman" w:hAnsi="Verdana" w:cs="Calibri"/>
              </w:rPr>
              <w:t xml:space="preserve">     </w:t>
            </w:r>
            <w:r w:rsidR="00F33439">
              <w:rPr>
                <w:rFonts w:ascii="Verdana" w:eastAsia="Times New Roman" w:hAnsi="Verdana" w:cs="Calibri"/>
              </w:rPr>
              <w:t xml:space="preserve"> </w:t>
            </w:r>
            <w:r w:rsidRPr="00DD046D">
              <w:rPr>
                <w:rFonts w:ascii="Verdana" w:eastAsia="Times New Roman" w:hAnsi="Verdana" w:cs="Calibri"/>
              </w:rPr>
              <w:t xml:space="preserve">                 </w:t>
            </w:r>
            <w:r w:rsidR="00F33439">
              <w:rPr>
                <w:rFonts w:ascii="Verdana" w:eastAsia="Times New Roman" w:hAnsi="Verdana" w:cs="Calibri"/>
              </w:rPr>
              <w:t xml:space="preserve">  </w:t>
            </w:r>
            <w:r w:rsidRPr="00DD046D">
              <w:rPr>
                <w:rFonts w:ascii="Verdana" w:eastAsia="Times New Roman" w:hAnsi="Verdana" w:cs="Calibri"/>
              </w:rPr>
              <w:t>…………………………</w:t>
            </w:r>
          </w:p>
        </w:tc>
      </w:tr>
    </w:tbl>
    <w:p w:rsidR="00DD046D" w:rsidRPr="00DD046D" w:rsidRDefault="00F33439" w:rsidP="00DD046D">
      <w:pPr>
        <w:spacing w:after="120"/>
        <w:jc w:val="both"/>
        <w:rPr>
          <w:rFonts w:ascii="Verdana" w:eastAsia="Verdana" w:hAnsi="Verdana" w:cs="Times New Roman"/>
        </w:rPr>
      </w:pPr>
      <w:r>
        <w:rPr>
          <w:rFonts w:ascii="Verdana" w:eastAsia="Verdana" w:hAnsi="Verdana" w:cs="Times New Roman"/>
        </w:rPr>
        <w:t xml:space="preserve">   Správa železnic, státní organizace</w:t>
      </w: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1" w:history="1">
        <w:r w:rsidR="00DD046D" w:rsidRPr="00556FA6">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DD046D" w:rsidRDefault="00DD046D" w:rsidP="00DD046D">
      <w:pPr>
        <w:pStyle w:val="Odrka1-2-"/>
        <w:tabs>
          <w:tab w:val="clear" w:pos="1531"/>
          <w:tab w:val="num" w:pos="284"/>
        </w:tabs>
        <w:ind w:hanging="1531"/>
        <w:rPr>
          <w:b/>
        </w:rPr>
        <w:sectPr w:rsidR="006C0BB6" w:rsidRPr="00DD046D" w:rsidSect="004E70C8">
          <w:footerReference w:type="default" r:id="rId24"/>
          <w:pgSz w:w="11906" w:h="16838" w:code="9"/>
          <w:pgMar w:top="1417" w:right="1417" w:bottom="1417" w:left="1417" w:header="595" w:footer="624" w:gutter="652"/>
          <w:pgNumType w:start="1"/>
          <w:cols w:space="708"/>
          <w:docGrid w:linePitch="360"/>
        </w:sectPr>
      </w:pPr>
      <w:r w:rsidRPr="00DD046D">
        <w:rPr>
          <w:b/>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DD046D" w:rsidRDefault="00DD046D" w:rsidP="00DD046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RPr="00F33439" w:rsidTr="00DD046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F33439" w:rsidRDefault="00DD046D">
            <w:pPr>
              <w:pStyle w:val="Tabulka"/>
              <w:rPr>
                <w:rStyle w:val="Nadpisvtabulce"/>
              </w:rPr>
            </w:pPr>
            <w:r w:rsidRPr="00F33439">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Pr="00F33439" w:rsidRDefault="00DD046D">
            <w:pPr>
              <w:pStyle w:val="Tabulka"/>
              <w:cnfStyle w:val="100000000000" w:firstRow="1" w:lastRow="0" w:firstColumn="0" w:lastColumn="0" w:oddVBand="0" w:evenVBand="0" w:oddHBand="0" w:evenHBand="0" w:firstRowFirstColumn="0" w:firstRowLastColumn="0" w:lastRowFirstColumn="0" w:lastRowLastColumn="0"/>
              <w:rPr>
                <w:sz w:val="18"/>
              </w:rPr>
            </w:pPr>
            <w:r w:rsidRPr="00F33439">
              <w:rPr>
                <w:sz w:val="18"/>
              </w:rPr>
              <w:t>Ing. Ladislav Kašpar</w:t>
            </w:r>
          </w:p>
        </w:tc>
      </w:tr>
      <w:tr w:rsidR="00DD046D" w:rsidRPr="00F33439"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F33439" w:rsidRDefault="00DD046D">
            <w:pPr>
              <w:pStyle w:val="Tabulka"/>
              <w:rPr>
                <w:sz w:val="18"/>
              </w:rPr>
            </w:pPr>
            <w:r w:rsidRPr="00F33439">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Pr="00F33439" w:rsidRDefault="00DD046D">
            <w:pPr>
              <w:pStyle w:val="Tabulka"/>
              <w:cnfStyle w:val="000000000000" w:firstRow="0" w:lastRow="0" w:firstColumn="0" w:lastColumn="0" w:oddVBand="0" w:evenVBand="0" w:oddHBand="0" w:evenHBand="0" w:firstRowFirstColumn="0" w:firstRowLastColumn="0" w:lastRowFirstColumn="0" w:lastRowLastColumn="0"/>
              <w:rPr>
                <w:sz w:val="18"/>
              </w:rPr>
            </w:pPr>
            <w:r w:rsidRPr="00F33439">
              <w:rPr>
                <w:sz w:val="18"/>
              </w:rPr>
              <w:t>Nerudova 1, 779 00 Olomouc</w:t>
            </w:r>
          </w:p>
        </w:tc>
      </w:tr>
      <w:tr w:rsidR="00DD046D" w:rsidRPr="00F33439"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F33439" w:rsidRDefault="00DD046D">
            <w:pPr>
              <w:pStyle w:val="Tabulka"/>
              <w:rPr>
                <w:sz w:val="18"/>
              </w:rPr>
            </w:pPr>
            <w:r w:rsidRPr="00F33439">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Pr="00F33439" w:rsidRDefault="00CB600C" w:rsidP="00F33439">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F33439" w:rsidRPr="00F33439">
                <w:rPr>
                  <w:rStyle w:val="Hypertextovodkaz"/>
                  <w:sz w:val="18"/>
                </w:rPr>
                <w:t>Kaspar@spravazeleznic.cz</w:t>
              </w:r>
            </w:hyperlink>
            <w:r w:rsidR="00DD046D" w:rsidRPr="00F33439">
              <w:rPr>
                <w:sz w:val="18"/>
              </w:rPr>
              <w:t xml:space="preserve">    </w:t>
            </w:r>
          </w:p>
        </w:tc>
      </w:tr>
      <w:tr w:rsidR="00DD046D" w:rsidRPr="00F33439"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F33439" w:rsidRDefault="00DD046D">
            <w:pPr>
              <w:pStyle w:val="Tabulka"/>
              <w:rPr>
                <w:sz w:val="18"/>
              </w:rPr>
            </w:pPr>
            <w:r w:rsidRPr="00F33439">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Pr="00F33439" w:rsidRDefault="00DD046D">
            <w:pPr>
              <w:pStyle w:val="Tabulka"/>
              <w:cnfStyle w:val="000000000000" w:firstRow="0" w:lastRow="0" w:firstColumn="0" w:lastColumn="0" w:oddVBand="0" w:evenVBand="0" w:oddHBand="0" w:evenHBand="0" w:firstRowFirstColumn="0" w:firstRowLastColumn="0" w:lastRowFirstColumn="0" w:lastRowLastColumn="0"/>
              <w:rPr>
                <w:sz w:val="18"/>
              </w:rPr>
            </w:pPr>
            <w:r w:rsidRPr="00F33439">
              <w:rPr>
                <w:sz w:val="18"/>
              </w:rPr>
              <w:t>602 784 383</w:t>
            </w:r>
          </w:p>
        </w:tc>
      </w:tr>
    </w:tbl>
    <w:p w:rsidR="00DD046D" w:rsidRDefault="00DD046D" w:rsidP="00DD046D">
      <w:pPr>
        <w:pStyle w:val="Textbezodsazen"/>
      </w:pPr>
    </w:p>
    <w:p w:rsidR="00DD046D" w:rsidRDefault="00DD046D" w:rsidP="00DD046D">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RPr="00F33439"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F33439" w:rsidRDefault="00DD046D">
            <w:pPr>
              <w:pStyle w:val="Tabulka"/>
              <w:rPr>
                <w:rStyle w:val="Nadpisvtabulce"/>
                <w:b w:val="0"/>
              </w:rPr>
            </w:pPr>
            <w:r w:rsidRPr="00F33439">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Pr="00F33439" w:rsidRDefault="00DD046D" w:rsidP="00F33439">
            <w:pPr>
              <w:pStyle w:val="Tabulka"/>
              <w:cnfStyle w:val="100000000000" w:firstRow="1" w:lastRow="0" w:firstColumn="0" w:lastColumn="0" w:oddVBand="0" w:evenVBand="0" w:oddHBand="0" w:evenHBand="0" w:firstRowFirstColumn="0" w:firstRowLastColumn="0" w:lastRowFirstColumn="0" w:lastRowLastColumn="0"/>
              <w:rPr>
                <w:sz w:val="18"/>
              </w:rPr>
            </w:pPr>
            <w:r w:rsidRPr="00F33439">
              <w:rPr>
                <w:sz w:val="18"/>
              </w:rPr>
              <w:t xml:space="preserve">Ing. </w:t>
            </w:r>
            <w:r w:rsidR="00F33439" w:rsidRPr="00F33439">
              <w:rPr>
                <w:sz w:val="18"/>
              </w:rPr>
              <w:t>Kamil Špaček</w:t>
            </w:r>
          </w:p>
        </w:tc>
      </w:tr>
      <w:tr w:rsidR="00DD046D" w:rsidRPr="00F33439"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F33439" w:rsidRDefault="00DD046D">
            <w:pPr>
              <w:pStyle w:val="Tabulka"/>
              <w:rPr>
                <w:sz w:val="18"/>
              </w:rPr>
            </w:pPr>
            <w:r w:rsidRPr="00F33439">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Pr="00F33439" w:rsidRDefault="00DD046D">
            <w:pPr>
              <w:pStyle w:val="Tabulka"/>
              <w:cnfStyle w:val="000000000000" w:firstRow="0" w:lastRow="0" w:firstColumn="0" w:lastColumn="0" w:oddVBand="0" w:evenVBand="0" w:oddHBand="0" w:evenHBand="0" w:firstRowFirstColumn="0" w:firstRowLastColumn="0" w:lastRowFirstColumn="0" w:lastRowLastColumn="0"/>
              <w:rPr>
                <w:sz w:val="18"/>
              </w:rPr>
            </w:pPr>
            <w:r w:rsidRPr="00F33439">
              <w:rPr>
                <w:sz w:val="18"/>
              </w:rPr>
              <w:t>Nerudova 1, 779 00 Olomouc</w:t>
            </w:r>
          </w:p>
        </w:tc>
      </w:tr>
      <w:tr w:rsidR="00DD046D" w:rsidRPr="00F33439"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F33439" w:rsidRDefault="00DD046D">
            <w:pPr>
              <w:pStyle w:val="Tabulka"/>
              <w:rPr>
                <w:sz w:val="18"/>
              </w:rPr>
            </w:pPr>
            <w:r w:rsidRPr="00F33439">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Pr="00F33439" w:rsidRDefault="00CB600C" w:rsidP="00F3343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F33439" w:rsidRPr="00F33439">
                <w:rPr>
                  <w:rStyle w:val="Hypertextovodkaz"/>
                  <w:sz w:val="18"/>
                </w:rPr>
                <w:t>Spacek</w:t>
              </w:r>
              <w:r w:rsidR="00F33439" w:rsidRPr="00F33439">
                <w:rPr>
                  <w:rStyle w:val="Hypertextovodkaz"/>
                  <w:noProof w:val="0"/>
                  <w:sz w:val="18"/>
                </w:rPr>
                <w:t>@spravazeleznic.cz</w:t>
              </w:r>
            </w:hyperlink>
            <w:r w:rsidR="00DD046D" w:rsidRPr="00F33439">
              <w:rPr>
                <w:sz w:val="18"/>
              </w:rPr>
              <w:t xml:space="preserve">  </w:t>
            </w:r>
          </w:p>
        </w:tc>
      </w:tr>
      <w:tr w:rsidR="00DD046D" w:rsidRPr="00F33439"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F33439" w:rsidRDefault="00DD046D">
            <w:pPr>
              <w:pStyle w:val="Tabulka"/>
              <w:rPr>
                <w:sz w:val="18"/>
              </w:rPr>
            </w:pPr>
            <w:r w:rsidRPr="00F33439">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Pr="00F33439" w:rsidRDefault="00F33439">
            <w:pPr>
              <w:pStyle w:val="Tabulka"/>
              <w:cnfStyle w:val="000000000000" w:firstRow="0" w:lastRow="0" w:firstColumn="0" w:lastColumn="0" w:oddVBand="0" w:evenVBand="0" w:oddHBand="0" w:evenHBand="0" w:firstRowFirstColumn="0" w:firstRowLastColumn="0" w:lastRowFirstColumn="0" w:lastRowLastColumn="0"/>
              <w:rPr>
                <w:sz w:val="18"/>
              </w:rPr>
            </w:pPr>
            <w:r w:rsidRPr="00F33439">
              <w:rPr>
                <w:sz w:val="18"/>
              </w:rPr>
              <w:t>606 720 424</w:t>
            </w:r>
          </w:p>
        </w:tc>
      </w:tr>
    </w:tbl>
    <w:p w:rsidR="00DD046D" w:rsidRDefault="00DD046D" w:rsidP="00DD046D">
      <w:pPr>
        <w:pStyle w:val="Textbezodsazen"/>
      </w:pPr>
    </w:p>
    <w:p w:rsidR="00DD046D" w:rsidRDefault="00DD046D" w:rsidP="00DD046D">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RPr="00F33439"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F33439" w:rsidRDefault="00DD046D">
            <w:pPr>
              <w:pStyle w:val="Tabulka"/>
              <w:rPr>
                <w:rStyle w:val="Nadpisvtabulce"/>
                <w:b w:val="0"/>
              </w:rPr>
            </w:pPr>
            <w:r w:rsidRPr="00F33439">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Pr="00F33439" w:rsidRDefault="00F33439">
            <w:pPr>
              <w:pStyle w:val="Tabulka"/>
              <w:cnfStyle w:val="100000000000" w:firstRow="1" w:lastRow="0" w:firstColumn="0" w:lastColumn="0" w:oddVBand="0" w:evenVBand="0" w:oddHBand="0" w:evenHBand="0" w:firstRowFirstColumn="0" w:firstRowLastColumn="0" w:lastRowFirstColumn="0" w:lastRowLastColumn="0"/>
              <w:rPr>
                <w:sz w:val="18"/>
              </w:rPr>
            </w:pPr>
            <w:r w:rsidRPr="00F33439">
              <w:rPr>
                <w:sz w:val="18"/>
              </w:rPr>
              <w:t>Ing. Kamil Špaček</w:t>
            </w:r>
          </w:p>
        </w:tc>
      </w:tr>
      <w:tr w:rsidR="00DD046D" w:rsidRPr="00F33439"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F33439" w:rsidRDefault="00DD046D">
            <w:pPr>
              <w:pStyle w:val="Tabulka"/>
              <w:rPr>
                <w:sz w:val="18"/>
              </w:rPr>
            </w:pPr>
            <w:r w:rsidRPr="00F33439">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Pr="00F33439" w:rsidRDefault="00DD046D">
            <w:pPr>
              <w:pStyle w:val="Tabulka"/>
              <w:cnfStyle w:val="000000000000" w:firstRow="0" w:lastRow="0" w:firstColumn="0" w:lastColumn="0" w:oddVBand="0" w:evenVBand="0" w:oddHBand="0" w:evenHBand="0" w:firstRowFirstColumn="0" w:firstRowLastColumn="0" w:lastRowFirstColumn="0" w:lastRowLastColumn="0"/>
              <w:rPr>
                <w:sz w:val="18"/>
              </w:rPr>
            </w:pPr>
            <w:r w:rsidRPr="00F33439">
              <w:rPr>
                <w:sz w:val="18"/>
              </w:rPr>
              <w:t>Nerudova 1, 779 00 Olomouc</w:t>
            </w:r>
          </w:p>
        </w:tc>
      </w:tr>
      <w:tr w:rsidR="00DD046D" w:rsidRPr="00F33439"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F33439" w:rsidRDefault="00DD046D">
            <w:pPr>
              <w:pStyle w:val="Tabulka"/>
              <w:rPr>
                <w:sz w:val="18"/>
              </w:rPr>
            </w:pPr>
            <w:r w:rsidRPr="00F33439">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Pr="00F33439" w:rsidRDefault="00CB600C">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F33439" w:rsidRPr="00F33439">
                <w:rPr>
                  <w:rStyle w:val="Hypertextovodkaz"/>
                  <w:sz w:val="18"/>
                </w:rPr>
                <w:t>Spacek</w:t>
              </w:r>
              <w:r w:rsidR="00F33439" w:rsidRPr="00F33439">
                <w:rPr>
                  <w:rStyle w:val="Hypertextovodkaz"/>
                  <w:noProof w:val="0"/>
                  <w:sz w:val="18"/>
                </w:rPr>
                <w:t>@spravazeleznic.cz</w:t>
              </w:r>
            </w:hyperlink>
            <w:r w:rsidR="00F33439" w:rsidRPr="00F33439">
              <w:rPr>
                <w:sz w:val="18"/>
              </w:rPr>
              <w:t xml:space="preserve">  </w:t>
            </w:r>
          </w:p>
        </w:tc>
      </w:tr>
      <w:tr w:rsidR="00F33439" w:rsidRPr="00F33439"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F33439" w:rsidRPr="00F33439" w:rsidRDefault="00F33439" w:rsidP="00F33439">
            <w:pPr>
              <w:pStyle w:val="Tabulka"/>
              <w:rPr>
                <w:sz w:val="18"/>
              </w:rPr>
            </w:pPr>
            <w:r w:rsidRPr="00F33439">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F33439" w:rsidRPr="00F33439" w:rsidRDefault="00F33439" w:rsidP="00F33439">
            <w:pPr>
              <w:pStyle w:val="Tabulka"/>
              <w:cnfStyle w:val="000000000000" w:firstRow="0" w:lastRow="0" w:firstColumn="0" w:lastColumn="0" w:oddVBand="0" w:evenVBand="0" w:oddHBand="0" w:evenHBand="0" w:firstRowFirstColumn="0" w:firstRowLastColumn="0" w:lastRowFirstColumn="0" w:lastRowLastColumn="0"/>
              <w:rPr>
                <w:sz w:val="18"/>
              </w:rPr>
            </w:pPr>
            <w:r w:rsidRPr="00F33439">
              <w:rPr>
                <w:sz w:val="18"/>
              </w:rPr>
              <w:t>606 720 424</w:t>
            </w:r>
          </w:p>
        </w:tc>
      </w:tr>
    </w:tbl>
    <w:p w:rsidR="00DD046D" w:rsidRDefault="00DD046D" w:rsidP="00DD046D">
      <w:pPr>
        <w:pStyle w:val="Textbezodsazen"/>
        <w:rPr>
          <w:b/>
        </w:rPr>
      </w:pPr>
    </w:p>
    <w:p w:rsidR="00DD046D" w:rsidRDefault="00DD046D" w:rsidP="00DD046D">
      <w:pPr>
        <w:pStyle w:val="Textbezodsazen"/>
        <w:rPr>
          <w:b/>
        </w:rPr>
      </w:pPr>
      <w:r>
        <w:rPr>
          <w:b/>
        </w:rPr>
        <w:t>Za Zhotovitele:</w:t>
      </w:r>
    </w:p>
    <w:p w:rsidR="00DD046D" w:rsidRDefault="00DD046D" w:rsidP="00DD046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Tr="00DD046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DD046D" w:rsidRDefault="00DD046D" w:rsidP="00DD046D">
      <w:pPr>
        <w:pStyle w:val="Textbezodsazen"/>
      </w:pPr>
    </w:p>
    <w:p w:rsidR="00DD046D" w:rsidRDefault="00DD046D" w:rsidP="00DD046D">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rPr>
                <w:rStyle w:val="Nadpisvtabulce"/>
                <w:b w:val="0"/>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DD046D" w:rsidRDefault="00DD046D" w:rsidP="00DD046D">
      <w:pPr>
        <w:pStyle w:val="Textbezodsazen"/>
      </w:pPr>
    </w:p>
    <w:p w:rsidR="00DD046D" w:rsidRDefault="00DD046D" w:rsidP="00DD046D">
      <w:pPr>
        <w:pStyle w:val="Nadpistabulky"/>
        <w:rPr>
          <w:rFonts w:asciiTheme="minorHAnsi" w:hAnsiTheme="minorHAnsi"/>
          <w:sz w:val="18"/>
          <w:szCs w:val="18"/>
        </w:rPr>
      </w:pPr>
      <w:r>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DD046D" w:rsidRDefault="00DD046D" w:rsidP="00DD046D">
      <w:pPr>
        <w:pStyle w:val="Textbezodsazen"/>
      </w:pPr>
    </w:p>
    <w:p w:rsidR="00DD046D" w:rsidRDefault="00DD046D" w:rsidP="00DD046D">
      <w:pPr>
        <w:pStyle w:val="Nadpistabulky"/>
        <w:rPr>
          <w:sz w:val="18"/>
          <w:szCs w:val="18"/>
        </w:rPr>
      </w:pPr>
      <w:r>
        <w:rPr>
          <w:sz w:val="18"/>
          <w:szCs w:val="18"/>
        </w:rPr>
        <w:t>Specialista (vedoucí prací na mosty a inženýrské konstrukce)</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100000000000" w:firstRow="1" w:lastRow="0" w:firstColumn="0" w:lastColumn="0" w:oddVBand="0" w:evenVBand="0" w:oddHBand="0" w:evenHBand="0" w:firstRowFirstColumn="0" w:firstRowLastColumn="0" w:lastRowFirstColumn="0" w:lastRowLastColumn="0"/>
              <w:rPr>
                <w:b/>
              </w:rPr>
            </w:pPr>
            <w:r>
              <w:rPr>
                <w:sz w:val="18"/>
                <w:highlight w:val="yellow"/>
              </w:rPr>
              <w:t>[VLOŽÍ ZHOTOVITEL</w:t>
            </w:r>
            <w:r>
              <w:rPr>
                <w:b/>
                <w:sz w:val="18"/>
                <w:highlight w:val="yellow"/>
              </w:rPr>
              <w:t>]</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F33439" w:rsidRDefault="00F33439" w:rsidP="00F33439">
      <w:pPr>
        <w:pStyle w:val="Tabulka"/>
      </w:pPr>
    </w:p>
    <w:p w:rsidR="00CB600C" w:rsidRDefault="00CB600C" w:rsidP="00CB600C">
      <w:pPr>
        <w:pStyle w:val="Nadpistabulky"/>
        <w:rPr>
          <w:sz w:val="18"/>
          <w:szCs w:val="18"/>
        </w:rPr>
      </w:pPr>
      <w:r>
        <w:rPr>
          <w:sz w:val="18"/>
          <w:szCs w:val="18"/>
        </w:rPr>
        <w:t xml:space="preserve">Specialista (vedoucí prací na </w:t>
      </w:r>
      <w:r>
        <w:rPr>
          <w:sz w:val="18"/>
          <w:szCs w:val="18"/>
        </w:rPr>
        <w:t>geotechniku</w:t>
      </w:r>
      <w:bookmarkStart w:id="8" w:name="_GoBack"/>
      <w:bookmarkEnd w:id="8"/>
      <w:r>
        <w:rPr>
          <w:sz w:val="18"/>
          <w:szCs w:val="18"/>
        </w:rPr>
        <w:t>)</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CB600C" w:rsidTr="00385B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CB600C" w:rsidRDefault="00CB600C" w:rsidP="00385B38">
            <w:pPr>
              <w:pStyle w:val="Tabulka"/>
              <w:rPr>
                <w:rStyle w:val="Nadpisvtabulce"/>
              </w:rPr>
            </w:pPr>
            <w:r>
              <w:rPr>
                <w:rStyle w:val="Nadpisvtabulce"/>
              </w:rPr>
              <w:t>J</w:t>
            </w:r>
            <w:r>
              <w:rPr>
                <w:rStyle w:val="Nadpisvtabulce"/>
              </w:rPr>
              <w:t>méno a příjmení</w:t>
            </w:r>
          </w:p>
        </w:tc>
        <w:tc>
          <w:tcPr>
            <w:tcW w:w="5812" w:type="dxa"/>
            <w:tcBorders>
              <w:top w:val="single" w:sz="4" w:space="0" w:color="auto"/>
              <w:left w:val="single" w:sz="4" w:space="0" w:color="auto"/>
              <w:bottom w:val="single" w:sz="4" w:space="0" w:color="auto"/>
              <w:right w:val="single" w:sz="4" w:space="0" w:color="auto"/>
            </w:tcBorders>
            <w:hideMark/>
          </w:tcPr>
          <w:p w:rsidR="00CB600C" w:rsidRDefault="00CB600C" w:rsidP="00385B38">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CB600C" w:rsidTr="00385B3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CB600C" w:rsidRDefault="00CB600C" w:rsidP="00385B38">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CB600C" w:rsidRDefault="00CB600C" w:rsidP="00385B3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B600C" w:rsidTr="00385B3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CB600C" w:rsidRDefault="00CB600C" w:rsidP="00385B38">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CB600C" w:rsidRDefault="00CB600C" w:rsidP="00385B3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B600C" w:rsidTr="00385B3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CB600C" w:rsidRDefault="00CB600C" w:rsidP="00385B38">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CB600C" w:rsidRDefault="00CB600C" w:rsidP="00385B3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rsidR="00CB600C" w:rsidRDefault="00CB600C" w:rsidP="00F33439">
      <w:pPr>
        <w:pStyle w:val="Tabulka"/>
      </w:pPr>
    </w:p>
    <w:p w:rsidR="00CB600C" w:rsidRDefault="00CB600C" w:rsidP="00F33439">
      <w:pPr>
        <w:pStyle w:val="Tabulka"/>
      </w:pPr>
    </w:p>
    <w:p w:rsidR="00CB600C" w:rsidRDefault="00CB600C" w:rsidP="00F33439">
      <w:pPr>
        <w:pStyle w:val="Tabulka"/>
      </w:pPr>
    </w:p>
    <w:p w:rsidR="00F33439" w:rsidRDefault="00F33439" w:rsidP="00F33439">
      <w:pPr>
        <w:pStyle w:val="Nadpistabulky"/>
        <w:rPr>
          <w:sz w:val="18"/>
          <w:szCs w:val="18"/>
        </w:rPr>
      </w:pPr>
      <w:r>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F33439" w:rsidTr="00F334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F33439" w:rsidRDefault="00F33439">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F33439" w:rsidRDefault="00F33439">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F33439" w:rsidTr="00F3343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F33439" w:rsidRDefault="00F33439">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F33439" w:rsidRDefault="00F33439">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F33439" w:rsidTr="00F3343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F33439" w:rsidRDefault="00F33439">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F33439" w:rsidRDefault="00F33439">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F33439" w:rsidTr="00F3343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F33439" w:rsidRDefault="00F33439">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F33439" w:rsidRDefault="00F33439">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2A5A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A5A5B">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2A5A5B" w:rsidRDefault="002C7A28" w:rsidP="002A5A5B">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2A5A5B">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A5A5B">
        <w:tc>
          <w:tcPr>
            <w:cnfStyle w:val="001000000000" w:firstRow="0" w:lastRow="0" w:firstColumn="1" w:lastColumn="0" w:oddVBand="0" w:evenVBand="0" w:oddHBand="0" w:evenHBand="0" w:firstRowFirstColumn="0" w:firstRowLastColumn="0" w:lastRowFirstColumn="0" w:lastRowLastColumn="0"/>
            <w:tcW w:w="2500" w:type="pct"/>
          </w:tcPr>
          <w:p w:rsidR="002C7A28" w:rsidRPr="002A5A5B" w:rsidRDefault="002C7A28" w:rsidP="00165977">
            <w:pPr>
              <w:pStyle w:val="Tabulka"/>
            </w:pPr>
            <w:r w:rsidRPr="002A5A5B">
              <w:rPr>
                <w:sz w:val="18"/>
              </w:rPr>
              <w:t>Pojištění odpovědnosti za škodu způsobenou Zhotovitelem při výkonu podnikatelské činnosti třetím osobám</w:t>
            </w:r>
          </w:p>
        </w:tc>
        <w:tc>
          <w:tcPr>
            <w:tcW w:w="2500" w:type="pct"/>
          </w:tcPr>
          <w:p w:rsidR="002C7A28" w:rsidRPr="002A5A5B" w:rsidRDefault="002A784C" w:rsidP="00F33439">
            <w:pPr>
              <w:pStyle w:val="Tabulka"/>
              <w:cnfStyle w:val="000000000000" w:firstRow="0" w:lastRow="0" w:firstColumn="0" w:lastColumn="0" w:oddVBand="0" w:evenVBand="0" w:oddHBand="0" w:evenHBand="0" w:firstRowFirstColumn="0" w:firstRowLastColumn="0" w:lastRowFirstColumn="0" w:lastRowLastColumn="0"/>
              <w:rPr>
                <w:sz w:val="18"/>
              </w:rPr>
            </w:pPr>
            <w:r w:rsidRPr="002A5A5B">
              <w:rPr>
                <w:rFonts w:eastAsia="Times New Roman" w:cs="Calibri"/>
                <w:sz w:val="18"/>
                <w:lang w:eastAsia="cs-CZ"/>
              </w:rPr>
              <w:t>M</w:t>
            </w:r>
            <w:r w:rsidR="002C7A28" w:rsidRPr="002A5A5B">
              <w:rPr>
                <w:rFonts w:eastAsia="Times New Roman" w:cs="Calibri"/>
                <w:sz w:val="18"/>
                <w:lang w:eastAsia="cs-CZ"/>
              </w:rPr>
              <w:t xml:space="preserve">inimálně </w:t>
            </w:r>
            <w:r w:rsidR="00F33439">
              <w:rPr>
                <w:rFonts w:eastAsia="Times New Roman" w:cs="Calibri"/>
                <w:color w:val="000000"/>
                <w:sz w:val="18"/>
                <w:lang w:eastAsia="cs-CZ"/>
              </w:rPr>
              <w:t>4</w:t>
            </w:r>
            <w:r w:rsidR="002C7A28" w:rsidRPr="002A5A5B">
              <w:rPr>
                <w:rFonts w:eastAsia="Times New Roman" w:cs="Calibri"/>
                <w:color w:val="000000"/>
                <w:sz w:val="18"/>
                <w:lang w:eastAsia="cs-CZ"/>
              </w:rPr>
              <w:t xml:space="preserve"> mil. Kč</w:t>
            </w:r>
            <w:r w:rsidR="002C7A28" w:rsidRPr="002A5A5B">
              <w:rPr>
                <w:rFonts w:eastAsia="Times New Roman" w:cs="Calibri"/>
                <w:sz w:val="18"/>
                <w:lang w:eastAsia="cs-CZ"/>
              </w:rPr>
              <w:t xml:space="preserve"> na jednu pojistnou událost</w:t>
            </w:r>
            <w:r w:rsidR="002A5A5B" w:rsidRPr="002A5A5B">
              <w:rPr>
                <w:rFonts w:eastAsia="Times New Roman" w:cs="Calibri"/>
                <w:sz w:val="18"/>
                <w:lang w:eastAsia="cs-CZ"/>
              </w:rPr>
              <w:t>.</w:t>
            </w:r>
          </w:p>
        </w:tc>
      </w:tr>
    </w:tbl>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2A5A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2A5A5B">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2A5A5B">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2A5A5B">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00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600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0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60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8</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0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60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9</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0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60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sidRPr="00143EC0">
            <w:rPr>
              <w:b/>
            </w:rPr>
            <w:t>PŘÍLOHA č. 1</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0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60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2</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0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60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3</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0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60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4</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0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60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5</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0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600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Pr="00143EC0" w:rsidRDefault="00AD31CE" w:rsidP="00F422D3">
          <w:pPr>
            <w:pStyle w:val="Zpat0"/>
            <w:rPr>
              <w:b/>
            </w:rPr>
          </w:pPr>
          <w:r>
            <w:rPr>
              <w:b/>
            </w:rPr>
            <w:t>PŘÍLOHA č. 6</w:t>
          </w:r>
        </w:p>
        <w:p w:rsidR="00AD31CE" w:rsidRDefault="00AD31CE" w:rsidP="00F95FBD">
          <w:pPr>
            <w:pStyle w:val="Zpat0"/>
          </w:pPr>
          <w:r>
            <w:t>SMLOUVA O DÍLO - Zhotovení stavby</w:t>
          </w: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0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60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7</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5A5B"/>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42CA1"/>
    <w:rsid w:val="00450F07"/>
    <w:rsid w:val="00453CD3"/>
    <w:rsid w:val="0046002F"/>
    <w:rsid w:val="00460660"/>
    <w:rsid w:val="00464BA9"/>
    <w:rsid w:val="00483969"/>
    <w:rsid w:val="0048464F"/>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0F0F"/>
    <w:rsid w:val="00936091"/>
    <w:rsid w:val="00940D8A"/>
    <w:rsid w:val="00962258"/>
    <w:rsid w:val="009678B7"/>
    <w:rsid w:val="009849AD"/>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00C"/>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1CFE"/>
    <w:rsid w:val="00DA3711"/>
    <w:rsid w:val="00DA5B8D"/>
    <w:rsid w:val="00DD046D"/>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3439"/>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A7235AE"/>
  <w14:defaultImageDpi w14:val="32767"/>
  <w15:docId w15:val="{EA2D3811-B972-42ED-805A-903D35C7C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91234">
      <w:bodyDiv w:val="1"/>
      <w:marLeft w:val="0"/>
      <w:marRight w:val="0"/>
      <w:marTop w:val="0"/>
      <w:marBottom w:val="0"/>
      <w:divBdr>
        <w:top w:val="none" w:sz="0" w:space="0" w:color="auto"/>
        <w:left w:val="none" w:sz="0" w:space="0" w:color="auto"/>
        <w:bottom w:val="none" w:sz="0" w:space="0" w:color="auto"/>
        <w:right w:val="none" w:sz="0" w:space="0" w:color="auto"/>
      </w:divBdr>
    </w:div>
    <w:div w:id="161549927">
      <w:bodyDiv w:val="1"/>
      <w:marLeft w:val="0"/>
      <w:marRight w:val="0"/>
      <w:marTop w:val="0"/>
      <w:marBottom w:val="0"/>
      <w:divBdr>
        <w:top w:val="none" w:sz="0" w:space="0" w:color="auto"/>
        <w:left w:val="none" w:sz="0" w:space="0" w:color="auto"/>
        <w:bottom w:val="none" w:sz="0" w:space="0" w:color="auto"/>
        <w:right w:val="none" w:sz="0" w:space="0" w:color="auto"/>
      </w:divBdr>
    </w:div>
    <w:div w:id="589893063">
      <w:bodyDiv w:val="1"/>
      <w:marLeft w:val="0"/>
      <w:marRight w:val="0"/>
      <w:marTop w:val="0"/>
      <w:marBottom w:val="0"/>
      <w:divBdr>
        <w:top w:val="none" w:sz="0" w:space="0" w:color="auto"/>
        <w:left w:val="none" w:sz="0" w:space="0" w:color="auto"/>
        <w:bottom w:val="none" w:sz="0" w:space="0" w:color="auto"/>
        <w:right w:val="none" w:sz="0" w:space="0" w:color="auto"/>
      </w:divBdr>
    </w:div>
    <w:div w:id="1766074337">
      <w:bodyDiv w:val="1"/>
      <w:marLeft w:val="0"/>
      <w:marRight w:val="0"/>
      <w:marTop w:val="0"/>
      <w:marBottom w:val="0"/>
      <w:divBdr>
        <w:top w:val="none" w:sz="0" w:space="0" w:color="auto"/>
        <w:left w:val="none" w:sz="0" w:space="0" w:color="auto"/>
        <w:bottom w:val="none" w:sz="0" w:space="0" w:color="auto"/>
        <w:right w:val="none" w:sz="0" w:space="0" w:color="auto"/>
      </w:divBdr>
    </w:div>
    <w:div w:id="1946496178">
      <w:bodyDiv w:val="1"/>
      <w:marLeft w:val="0"/>
      <w:marRight w:val="0"/>
      <w:marTop w:val="0"/>
      <w:marBottom w:val="0"/>
      <w:divBdr>
        <w:top w:val="none" w:sz="0" w:space="0" w:color="auto"/>
        <w:left w:val="none" w:sz="0" w:space="0" w:color="auto"/>
        <w:bottom w:val="none" w:sz="0" w:space="0" w:color="auto"/>
        <w:right w:val="none" w:sz="0" w:space="0" w:color="auto"/>
      </w:divBdr>
    </w:div>
    <w:div w:id="1961298040">
      <w:bodyDiv w:val="1"/>
      <w:marLeft w:val="0"/>
      <w:marRight w:val="0"/>
      <w:marTop w:val="0"/>
      <w:marBottom w:val="0"/>
      <w:divBdr>
        <w:top w:val="none" w:sz="0" w:space="0" w:color="auto"/>
        <w:left w:val="none" w:sz="0" w:space="0" w:color="auto"/>
        <w:bottom w:val="none" w:sz="0" w:space="0" w:color="auto"/>
        <w:right w:val="none" w:sz="0" w:space="0" w:color="auto"/>
      </w:divBdr>
    </w:div>
    <w:div w:id="202847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Z:\OPRAVN&#201;%20PR&#193;CE%202020\REALIZACE\SMT\SMT%20(-63320003-)%20Opr.mostu%20v%20km130,174%20a%20130,240%20tr.Brno-Vl.pr&#367;smyk\SOD\4%20x%20SOD.docx"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Kubelkaj@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5.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yperlink" Target="mailto:Spacek@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Z:\OPRAVN&#201;%20PR&#193;CE%202020\REALIZACE\SMT\SMT%20(-63320003-)%20Opr.mostu%20v%20km130,174%20a%20130,240%20tr.Brno-Vl.pr&#367;smyk\ZD%20pro%20uchaze&#269;e\D&#237;l%202%20Z&#225;vazn&#253;%20vzor%20smlouvy.docx" TargetMode="External"/><Relationship Id="rId22" Type="http://schemas.openxmlformats.org/officeDocument/2006/relationships/header" Target="header4.xml"/><Relationship Id="rId27" Type="http://schemas.openxmlformats.org/officeDocument/2006/relationships/hyperlink" Target="mailto:Kaspar@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740C60B-CCCC-4EFF-856B-5293134ED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296</TotalTime>
  <Pages>18</Pages>
  <Words>4222</Words>
  <Characters>24913</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27</cp:revision>
  <cp:lastPrinted>2019-09-27T11:09:00Z</cp:lastPrinted>
  <dcterms:created xsi:type="dcterms:W3CDTF">2019-03-19T08:45:00Z</dcterms:created>
  <dcterms:modified xsi:type="dcterms:W3CDTF">2020-09-14T11:10:00Z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