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A0E30" w:rsidRPr="00A3027B">
        <w:rPr>
          <w:rFonts w:ascii="Verdana" w:hAnsi="Verdana"/>
          <w:b/>
          <w:sz w:val="18"/>
          <w:szCs w:val="18"/>
        </w:rPr>
        <w:t>„Oprava trati v úseku Třemešná ve Slezsku - Jindřichov ve Slezsku st.</w:t>
      </w:r>
      <w:r w:rsidR="006A0E30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6A0E30" w:rsidRPr="00A3027B">
        <w:rPr>
          <w:rFonts w:ascii="Verdana" w:hAnsi="Verdana"/>
          <w:b/>
          <w:sz w:val="18"/>
          <w:szCs w:val="18"/>
        </w:rPr>
        <w:t>hr.“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0E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0E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0E30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F0CD058"/>
  <w15:docId w15:val="{467B2AA4-4F71-4379-B8F8-EEC5925B5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5DF385-6CCD-4ADD-9191-96137630E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2018-03-26T11:24:00Z</cp:lastPrinted>
  <dcterms:created xsi:type="dcterms:W3CDTF">2018-11-26T13:42:00Z</dcterms:created>
  <dcterms:modified xsi:type="dcterms:W3CDTF">2020-09-07T09:12:00Z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