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2070DB" w:rsidRPr="002070DB">
        <w:rPr>
          <w:rFonts w:ascii="Verdana" w:hAnsi="Verdana"/>
          <w:b/>
          <w:sz w:val="18"/>
          <w:szCs w:val="18"/>
        </w:rPr>
        <w:t>Proudový zdroj DC tester napáječů s příslušenstvím + externí kalibrační jednotka</w:t>
      </w:r>
      <w:bookmarkStart w:id="0" w:name="_GoBack"/>
      <w:bookmarkEnd w:id="0"/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Pr="00DA5F90">
        <w:rPr>
          <w:rFonts w:ascii="Verdana" w:hAnsi="Verdana"/>
          <w:sz w:val="18"/>
          <w:szCs w:val="18"/>
        </w:rPr>
        <w:t>60</w:t>
      </w:r>
      <w:r>
        <w:rPr>
          <w:rFonts w:ascii="Verdana" w:hAnsi="Verdana"/>
          <w:sz w:val="18"/>
          <w:szCs w:val="18"/>
        </w:rPr>
        <w:t>-ti</w:t>
      </w:r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2070DB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2070DB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2070DB" w:rsidRPr="002070DB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2070DB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2070DB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fldSimple w:instr=" NUMPAGES   \* MERGEFORMAT ">
                        <w:r w:rsidR="002070DB" w:rsidRPr="002070DB">
                          <w:rPr>
                            <w:rStyle w:val="slostrnky"/>
                            <w:rFonts w:ascii="Verdana" w:hAnsi="Verdana"/>
                            <w:noProof/>
                            <w:szCs w:val="14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070DB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574CB"/>
    <w:rsid w:val="00657929"/>
    <w:rsid w:val="006A0078"/>
    <w:rsid w:val="006C782C"/>
    <w:rsid w:val="0073371E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138CC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B54779D7-80CB-4EEF-84AA-925F6E20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2019-02-22T08:13:00Z</dcterms:created>
  <dcterms:modified xsi:type="dcterms:W3CDTF">2020-09-03T10:31:00Z</dcterms:modified>
</cp:coreProperties>
</file>