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0C5197" wp14:editId="5CA30CC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F07F2" w:rsidRDefault="00FF07F2"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F07F2" w:rsidRDefault="00FF07F2"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0E41D9" w:rsidP="0037111D">
            <w:r w:rsidRPr="000E41D9">
              <w:rPr>
                <w:rFonts w:ascii="Helvetica" w:hAnsi="Helvetica"/>
              </w:rPr>
              <w:t>8111/2020-SŽ-SSV-Ú3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0E41D9" w:rsidRDefault="00F862D6" w:rsidP="0077673A">
            <w:r w:rsidRPr="000E41D9">
              <w:t>Listů/příloh</w:t>
            </w:r>
          </w:p>
        </w:tc>
        <w:tc>
          <w:tcPr>
            <w:tcW w:w="2552" w:type="dxa"/>
          </w:tcPr>
          <w:p w:rsidR="00F862D6" w:rsidRPr="000E41D9" w:rsidRDefault="000E41D9" w:rsidP="000E41D9">
            <w:r w:rsidRPr="000E41D9">
              <w:t>5</w:t>
            </w:r>
            <w:r w:rsidR="003E6B9A" w:rsidRPr="000E41D9">
              <w:t>/</w:t>
            </w:r>
            <w:r w:rsidRPr="000E41D9">
              <w:t>6</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6E3EAB" w:rsidP="00C15AF3">
            <w:bookmarkStart w:id="0" w:name="Datum"/>
            <w:r>
              <w:t>2</w:t>
            </w:r>
            <w:r w:rsidR="00C15AF3">
              <w:t>6</w:t>
            </w:r>
            <w:r w:rsidR="00871912">
              <w:t xml:space="preserve">. </w:t>
            </w:r>
            <w:r w:rsidR="00EC3C53">
              <w:t>srpna</w:t>
            </w:r>
            <w:r w:rsidR="00871912">
              <w:t xml:space="preserve"> 2020</w:t>
            </w:r>
            <w:r w:rsidR="00871912" w:rsidRPr="003E6B9A">
              <w:t xml:space="preserve"> </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dokume</w:t>
      </w:r>
      <w:r w:rsidRPr="0096272A">
        <w:rPr>
          <w:rFonts w:eastAsia="Calibri" w:cs="Times New Roman"/>
          <w:lang w:eastAsia="cs-CZ"/>
        </w:rPr>
        <w:t>ntace č</w:t>
      </w:r>
      <w:r w:rsidR="0092166E" w:rsidRPr="0096272A">
        <w:rPr>
          <w:rFonts w:eastAsia="Calibri" w:cs="Times New Roman"/>
          <w:lang w:eastAsia="cs-CZ"/>
        </w:rPr>
        <w:t xml:space="preserve">. </w:t>
      </w:r>
      <w:r w:rsidR="0096272A" w:rsidRPr="0096272A">
        <w:rPr>
          <w:rFonts w:eastAsia="Calibri" w:cs="Times New Roman"/>
          <w:lang w:eastAsia="cs-CZ"/>
        </w:rPr>
        <w:t>20</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ind w:left="709"/>
        <w:rPr>
          <w:rFonts w:eastAsia="Calibri" w:cs="Times New Roman"/>
          <w:color w:val="FF0000"/>
          <w:lang w:eastAsia="cs-CZ"/>
        </w:rPr>
      </w:pPr>
    </w:p>
    <w:p w:rsidR="0096272A" w:rsidRPr="00BD5319" w:rsidRDefault="0096272A" w:rsidP="00BD5319">
      <w:pPr>
        <w:spacing w:after="0" w:line="240" w:lineRule="auto"/>
        <w:ind w:left="709"/>
        <w:rPr>
          <w:rFonts w:eastAsia="Calibri" w:cs="Times New Roman"/>
          <w:color w:val="FF0000"/>
          <w:lang w:eastAsia="cs-CZ"/>
        </w:rPr>
      </w:pPr>
    </w:p>
    <w:p w:rsidR="0096272A" w:rsidRDefault="0096272A" w:rsidP="000E41D9">
      <w:pPr>
        <w:spacing w:after="0" w:line="240" w:lineRule="auto"/>
        <w:rPr>
          <w:rFonts w:eastAsia="Times New Roman" w:cs="Times New Roman"/>
          <w:b/>
          <w:color w:val="FF0000"/>
          <w:lang w:eastAsia="cs-CZ"/>
        </w:rPr>
      </w:pPr>
      <w:r>
        <w:rPr>
          <w:rFonts w:eastAsia="Calibri" w:cs="Times New Roman"/>
          <w:b/>
          <w:lang w:eastAsia="cs-CZ"/>
        </w:rPr>
        <w:t>Dotaz č. 210:</w:t>
      </w:r>
    </w:p>
    <w:p w:rsidR="0096272A" w:rsidRPr="000E41D9" w:rsidRDefault="0096272A" w:rsidP="000E41D9">
      <w:pPr>
        <w:spacing w:after="0" w:line="240" w:lineRule="auto"/>
        <w:jc w:val="both"/>
        <w:rPr>
          <w:rFonts w:cs="Tahoma"/>
          <w:color w:val="000000"/>
          <w:shd w:val="clear" w:color="auto" w:fill="FFFFFF"/>
        </w:rPr>
      </w:pPr>
      <w:r w:rsidRPr="000E41D9">
        <w:rPr>
          <w:rFonts w:eastAsia="Times New Roman" w:cs="Tahoma"/>
          <w:color w:val="000000"/>
          <w:lang w:eastAsia="cs-CZ"/>
        </w:rPr>
        <w:t xml:space="preserve">Dle TZ </w:t>
      </w:r>
      <w:proofErr w:type="gramStart"/>
      <w:r w:rsidRPr="000E41D9">
        <w:rPr>
          <w:rFonts w:eastAsia="Times New Roman" w:cs="Tahoma"/>
          <w:color w:val="000000"/>
          <w:lang w:eastAsia="cs-CZ"/>
        </w:rPr>
        <w:t>části B.8 (str.</w:t>
      </w:r>
      <w:proofErr w:type="gramEnd"/>
      <w:r w:rsidRPr="000E41D9">
        <w:rPr>
          <w:rFonts w:eastAsia="Times New Roman" w:cs="Tahoma"/>
          <w:color w:val="000000"/>
          <w:lang w:eastAsia="cs-CZ"/>
        </w:rPr>
        <w:t xml:space="preserve">21) je uveden konec stavebních prací v 12/2022 (mimo úpravy GPK) a 03/2023 (včetně úpravy GPK). Dle TZ </w:t>
      </w:r>
      <w:proofErr w:type="gramStart"/>
      <w:r w:rsidRPr="000E41D9">
        <w:rPr>
          <w:rFonts w:eastAsia="Times New Roman" w:cs="Tahoma"/>
          <w:color w:val="000000"/>
          <w:lang w:eastAsia="cs-CZ"/>
        </w:rPr>
        <w:t>části B.8 (str.</w:t>
      </w:r>
      <w:proofErr w:type="gramEnd"/>
      <w:r w:rsidRPr="000E41D9">
        <w:rPr>
          <w:rFonts w:eastAsia="Times New Roman" w:cs="Tahoma"/>
          <w:color w:val="000000"/>
          <w:lang w:eastAsia="cs-CZ"/>
        </w:rPr>
        <w:t xml:space="preserve">37) a dle harmonogramu stavby (příloha části B.8) je ukončení PS 00-01-52 (úprava ETCS) plánované v etapě SP2/2b ke dni 30.11.2021. V TZ PS 00-01-52 se uvádí, že „…se předpokládá aktivace ETCS cca 6 měsíců po ukončení stavebních prací a aktivaci </w:t>
      </w:r>
      <w:proofErr w:type="spellStart"/>
      <w:r w:rsidRPr="000E41D9">
        <w:rPr>
          <w:rFonts w:eastAsia="Times New Roman" w:cs="Tahoma"/>
          <w:color w:val="000000"/>
          <w:lang w:eastAsia="cs-CZ"/>
        </w:rPr>
        <w:t>zab</w:t>
      </w:r>
      <w:proofErr w:type="spellEnd"/>
      <w:r w:rsidRPr="000E41D9">
        <w:rPr>
          <w:rFonts w:eastAsia="Times New Roman" w:cs="Tahoma"/>
          <w:color w:val="000000"/>
          <w:lang w:eastAsia="cs-CZ"/>
        </w:rPr>
        <w:t xml:space="preserve">. </w:t>
      </w:r>
      <w:proofErr w:type="gramStart"/>
      <w:r w:rsidRPr="000E41D9">
        <w:rPr>
          <w:rFonts w:eastAsia="Times New Roman" w:cs="Tahoma"/>
          <w:color w:val="000000"/>
          <w:lang w:eastAsia="cs-CZ"/>
        </w:rPr>
        <w:t>zař</w:t>
      </w:r>
      <w:proofErr w:type="gramEnd"/>
      <w:r w:rsidRPr="000E41D9">
        <w:rPr>
          <w:rFonts w:eastAsia="Times New Roman" w:cs="Tahoma"/>
          <w:color w:val="000000"/>
          <w:lang w:eastAsia="cs-CZ"/>
        </w:rPr>
        <w:t xml:space="preserve">. v celém úseku stavby“. Chápeme správně, že platí veškeré údaje uvedené v ZD s tím, že se jedná o dílčí části systému ETCS a vlastní aktivace se předpokládá dle TZ PS 00-01-52? Tedy, že se předpokládá aktivace ETCS cca 6 měsíců (nezbytné minimum) po ukončení stavebních prací a aktivaci </w:t>
      </w:r>
      <w:proofErr w:type="spellStart"/>
      <w:r w:rsidRPr="000E41D9">
        <w:rPr>
          <w:rFonts w:eastAsia="Times New Roman" w:cs="Tahoma"/>
          <w:color w:val="000000"/>
          <w:lang w:eastAsia="cs-CZ"/>
        </w:rPr>
        <w:t>zab</w:t>
      </w:r>
      <w:proofErr w:type="spellEnd"/>
      <w:r w:rsidRPr="000E41D9">
        <w:rPr>
          <w:rFonts w:eastAsia="Times New Roman" w:cs="Tahoma"/>
          <w:color w:val="000000"/>
          <w:lang w:eastAsia="cs-CZ"/>
        </w:rPr>
        <w:t xml:space="preserve">. </w:t>
      </w:r>
      <w:proofErr w:type="gramStart"/>
      <w:r w:rsidRPr="000E41D9">
        <w:rPr>
          <w:rFonts w:eastAsia="Times New Roman" w:cs="Tahoma"/>
          <w:color w:val="000000"/>
          <w:lang w:eastAsia="cs-CZ"/>
        </w:rPr>
        <w:t>zař</w:t>
      </w:r>
      <w:proofErr w:type="gramEnd"/>
      <w:r w:rsidRPr="000E41D9">
        <w:rPr>
          <w:rFonts w:eastAsia="Times New Roman" w:cs="Tahoma"/>
          <w:color w:val="000000"/>
          <w:lang w:eastAsia="cs-CZ"/>
        </w:rPr>
        <w:t>. v celém úseku stavby a že zadavatel i s přihlédnutím k souběžným stavbám případně přihlédne/poskytne součinnost se zohledněním termínové složitosti realizace navazujících technologických částí stavby (zabezpečovací zařízení).</w:t>
      </w:r>
      <w:bookmarkStart w:id="1" w:name="_GoBack"/>
      <w:bookmarkEnd w:id="1"/>
    </w:p>
    <w:p w:rsidR="0096272A" w:rsidRPr="000E41D9" w:rsidRDefault="0096272A" w:rsidP="000E41D9">
      <w:pPr>
        <w:spacing w:after="0" w:line="240" w:lineRule="auto"/>
        <w:rPr>
          <w:rFonts w:cs="Tahoma"/>
          <w:shd w:val="clear" w:color="auto" w:fill="FFFFFF"/>
        </w:rPr>
      </w:pPr>
    </w:p>
    <w:p w:rsidR="0096272A" w:rsidRPr="000E41D9" w:rsidRDefault="0096272A" w:rsidP="000E41D9">
      <w:pPr>
        <w:spacing w:after="0" w:line="240" w:lineRule="auto"/>
        <w:rPr>
          <w:rFonts w:eastAsia="Calibri" w:cs="Times New Roman"/>
          <w:b/>
          <w:lang w:eastAsia="cs-CZ"/>
        </w:rPr>
      </w:pPr>
      <w:r w:rsidRPr="000E41D9">
        <w:rPr>
          <w:rFonts w:eastAsia="Calibri" w:cs="Times New Roman"/>
          <w:b/>
          <w:lang w:eastAsia="cs-CZ"/>
        </w:rPr>
        <w:t xml:space="preserve">Odpověď: </w:t>
      </w:r>
    </w:p>
    <w:p w:rsidR="00CD7937" w:rsidRPr="000E41D9" w:rsidRDefault="00CD7937" w:rsidP="000E41D9">
      <w:pPr>
        <w:spacing w:after="0" w:line="240" w:lineRule="auto"/>
        <w:rPr>
          <w:rFonts w:eastAsia="Times New Roman" w:cs="Times New Roman"/>
          <w:bCs/>
          <w:lang w:eastAsia="cs-CZ"/>
        </w:rPr>
      </w:pPr>
      <w:r w:rsidRPr="000E41D9">
        <w:rPr>
          <w:rFonts w:eastAsia="Times New Roman" w:cs="Times New Roman"/>
          <w:bCs/>
          <w:lang w:eastAsia="cs-CZ"/>
        </w:rPr>
        <w:t>Souhlasíme s chápáním problematiky ze strany tazatele. V ZOV se uvádí termín konce stavebních prací, aktivace ETCS proběhne po tomto termínu v závislosti na provedení potřebných činností. Doba na jejich provedení se vzhledem k zatím omezenému rozsahu znalostí těchto proces</w:t>
      </w:r>
      <w:r w:rsidR="0086063D">
        <w:rPr>
          <w:rFonts w:eastAsia="Times New Roman" w:cs="Times New Roman"/>
          <w:bCs/>
          <w:lang w:eastAsia="cs-CZ"/>
        </w:rPr>
        <w:t>ů</w:t>
      </w:r>
      <w:r w:rsidRPr="000E41D9">
        <w:rPr>
          <w:rFonts w:eastAsia="Times New Roman" w:cs="Times New Roman"/>
          <w:bCs/>
          <w:lang w:eastAsia="cs-CZ"/>
        </w:rPr>
        <w:t xml:space="preserve"> v podmínkách ČR předpokládá 6 měsíců (předpokládá se přesné geodetické zaměření všech prvků ZZ v kolejišti, na tomto základě vyprojektování úprav a jejich realizace na dvou dotčených RBC, montáž </w:t>
      </w:r>
      <w:proofErr w:type="spellStart"/>
      <w:r w:rsidRPr="000E41D9">
        <w:rPr>
          <w:rFonts w:eastAsia="Times New Roman" w:cs="Times New Roman"/>
          <w:bCs/>
          <w:lang w:eastAsia="cs-CZ"/>
        </w:rPr>
        <w:t>balíz</w:t>
      </w:r>
      <w:proofErr w:type="spellEnd"/>
      <w:r w:rsidRPr="000E41D9">
        <w:rPr>
          <w:rFonts w:eastAsia="Times New Roman" w:cs="Times New Roman"/>
          <w:bCs/>
          <w:lang w:eastAsia="cs-CZ"/>
        </w:rPr>
        <w:t xml:space="preserve"> podle zaměření v nových polohách a jejich nastavení, atd..)</w:t>
      </w:r>
    </w:p>
    <w:p w:rsidR="00F65E59" w:rsidRPr="000E41D9" w:rsidRDefault="00F65E59" w:rsidP="000E41D9">
      <w:pPr>
        <w:spacing w:after="0" w:line="240" w:lineRule="auto"/>
        <w:rPr>
          <w:rFonts w:eastAsia="Times New Roman" w:cs="Times New Roman"/>
          <w:b/>
          <w:lang w:eastAsia="cs-CZ"/>
        </w:rPr>
      </w:pPr>
    </w:p>
    <w:p w:rsidR="0096272A" w:rsidRPr="000E41D9" w:rsidRDefault="0096272A" w:rsidP="000E41D9">
      <w:pPr>
        <w:spacing w:after="0" w:line="240" w:lineRule="auto"/>
        <w:rPr>
          <w:rFonts w:eastAsia="Times New Roman" w:cs="Times New Roman"/>
          <w:b/>
          <w:lang w:eastAsia="cs-CZ"/>
        </w:rPr>
      </w:pPr>
    </w:p>
    <w:p w:rsidR="00812E69" w:rsidRPr="000E41D9" w:rsidRDefault="00EB4909" w:rsidP="000E41D9">
      <w:pPr>
        <w:spacing w:after="0" w:line="240" w:lineRule="auto"/>
        <w:rPr>
          <w:rFonts w:eastAsia="Times New Roman" w:cs="Times New Roman"/>
          <w:b/>
          <w:lang w:eastAsia="cs-CZ"/>
        </w:rPr>
      </w:pPr>
      <w:r w:rsidRPr="000E41D9">
        <w:rPr>
          <w:rFonts w:eastAsia="Calibri" w:cs="Times New Roman"/>
          <w:b/>
          <w:lang w:eastAsia="cs-CZ"/>
        </w:rPr>
        <w:t xml:space="preserve">Dotaz č. </w:t>
      </w:r>
      <w:r w:rsidR="0031433E" w:rsidRPr="000E41D9">
        <w:rPr>
          <w:rFonts w:eastAsia="Calibri" w:cs="Times New Roman"/>
          <w:b/>
          <w:lang w:eastAsia="cs-CZ"/>
        </w:rPr>
        <w:t>211</w:t>
      </w:r>
      <w:r w:rsidRPr="000E41D9">
        <w:rPr>
          <w:rFonts w:eastAsia="Calibri" w:cs="Times New Roman"/>
          <w:b/>
          <w:lang w:eastAsia="cs-CZ"/>
        </w:rPr>
        <w:t>:</w:t>
      </w:r>
    </w:p>
    <w:p w:rsidR="000E41D9" w:rsidRPr="000E41D9" w:rsidRDefault="0031433E" w:rsidP="000E41D9">
      <w:pPr>
        <w:spacing w:after="0" w:line="240" w:lineRule="auto"/>
        <w:jc w:val="both"/>
        <w:rPr>
          <w:rFonts w:cstheme="minorHAnsi"/>
          <w:spacing w:val="4"/>
        </w:rPr>
      </w:pPr>
      <w:r w:rsidRPr="000E41D9">
        <w:rPr>
          <w:rFonts w:cstheme="minorHAnsi"/>
          <w:spacing w:val="4"/>
        </w:rPr>
        <w:t>Dle HMG a ZOV předpokládáme nakládání materiálu fr. 0 - 32 pro sanační linku v </w:t>
      </w:r>
      <w:proofErr w:type="spellStart"/>
      <w:r w:rsidRPr="000E41D9">
        <w:rPr>
          <w:rFonts w:cstheme="minorHAnsi"/>
          <w:spacing w:val="4"/>
        </w:rPr>
        <w:t>žst</w:t>
      </w:r>
      <w:proofErr w:type="spellEnd"/>
      <w:r w:rsidRPr="000E41D9">
        <w:rPr>
          <w:rFonts w:cstheme="minorHAnsi"/>
          <w:spacing w:val="4"/>
        </w:rPr>
        <w:t>. Ústí nad O. u 5. koleje, kde z kapacitních, dopravních a hygienických důvodů (hluk), není možné naložit požadované množství nového materiálu.</w:t>
      </w:r>
    </w:p>
    <w:p w:rsidR="0031433E" w:rsidRPr="000E41D9" w:rsidRDefault="0031433E" w:rsidP="000E41D9">
      <w:pPr>
        <w:spacing w:after="0" w:line="240" w:lineRule="auto"/>
        <w:jc w:val="both"/>
        <w:rPr>
          <w:rFonts w:cstheme="minorHAnsi"/>
          <w:spacing w:val="4"/>
        </w:rPr>
      </w:pPr>
      <w:r w:rsidRPr="000E41D9">
        <w:rPr>
          <w:rFonts w:cstheme="minorHAnsi"/>
          <w:spacing w:val="4"/>
        </w:rPr>
        <w:t>Žádáme o vyhrazení a zavedení opatření jedné ze staničních kolejí v </w:t>
      </w:r>
      <w:proofErr w:type="spellStart"/>
      <w:r w:rsidRPr="000E41D9">
        <w:rPr>
          <w:rFonts w:cstheme="minorHAnsi"/>
          <w:spacing w:val="4"/>
        </w:rPr>
        <w:t>žst</w:t>
      </w:r>
      <w:proofErr w:type="spellEnd"/>
      <w:r w:rsidRPr="000E41D9">
        <w:rPr>
          <w:rFonts w:cstheme="minorHAnsi"/>
          <w:spacing w:val="4"/>
        </w:rPr>
        <w:t xml:space="preserve">. Ústí nad Orlicí, pro potřeby stavby tak, aby  v etapách kde dochází k nasazení obnovovacího stroje žel. </w:t>
      </w:r>
      <w:proofErr w:type="gramStart"/>
      <w:r w:rsidRPr="000E41D9">
        <w:rPr>
          <w:rFonts w:cstheme="minorHAnsi"/>
          <w:spacing w:val="4"/>
        </w:rPr>
        <w:t>spodku</w:t>
      </w:r>
      <w:proofErr w:type="gramEnd"/>
      <w:r w:rsidRPr="000E41D9">
        <w:rPr>
          <w:rFonts w:cstheme="minorHAnsi"/>
          <w:spacing w:val="4"/>
        </w:rPr>
        <w:t xml:space="preserve"> byl umožněn neprodlený odjezd směr Česká Třebová (variantně Letohrad) na </w:t>
      </w:r>
      <w:proofErr w:type="spellStart"/>
      <w:r w:rsidRPr="000E41D9">
        <w:rPr>
          <w:rFonts w:cstheme="minorHAnsi"/>
          <w:spacing w:val="4"/>
        </w:rPr>
        <w:t>mezideponie</w:t>
      </w:r>
      <w:proofErr w:type="spellEnd"/>
      <w:r w:rsidRPr="000E41D9">
        <w:rPr>
          <w:rFonts w:cstheme="minorHAnsi"/>
          <w:spacing w:val="4"/>
        </w:rPr>
        <w:t xml:space="preserve"> s větší obsluhovací kapacitou.</w:t>
      </w:r>
    </w:p>
    <w:p w:rsidR="0031433E" w:rsidRPr="000E41D9" w:rsidRDefault="0031433E" w:rsidP="000E41D9">
      <w:pPr>
        <w:spacing w:after="0" w:line="240" w:lineRule="auto"/>
        <w:jc w:val="both"/>
        <w:rPr>
          <w:rFonts w:cstheme="minorHAnsi"/>
          <w:spacing w:val="4"/>
        </w:rPr>
      </w:pPr>
      <w:r w:rsidRPr="000E41D9">
        <w:rPr>
          <w:rFonts w:cstheme="minorHAnsi"/>
          <w:spacing w:val="4"/>
        </w:rPr>
        <w:t>Nejedná se o vyloučení staniční koleje, ale pouze o její vyhrazení pro kolejovou mechanizaci stavby, ze které je dle předpisu D1 umožněn odjezd do provozovaných kolejí.</w:t>
      </w:r>
    </w:p>
    <w:p w:rsidR="000E41D9" w:rsidRDefault="000E41D9" w:rsidP="000E41D9">
      <w:pPr>
        <w:spacing w:after="0" w:line="240" w:lineRule="auto"/>
        <w:rPr>
          <w:rFonts w:eastAsia="Calibri" w:cs="Times New Roman"/>
          <w:b/>
          <w:lang w:eastAsia="cs-CZ"/>
        </w:rPr>
      </w:pPr>
    </w:p>
    <w:p w:rsidR="0031433E" w:rsidRPr="000E41D9" w:rsidRDefault="0031433E" w:rsidP="000E41D9">
      <w:pPr>
        <w:spacing w:after="0" w:line="240" w:lineRule="auto"/>
        <w:rPr>
          <w:rFonts w:eastAsia="Calibri" w:cs="Times New Roman"/>
          <w:b/>
          <w:lang w:eastAsia="cs-CZ"/>
        </w:rPr>
      </w:pPr>
      <w:r w:rsidRPr="000E41D9">
        <w:rPr>
          <w:rFonts w:eastAsia="Calibri" w:cs="Times New Roman"/>
          <w:b/>
          <w:lang w:eastAsia="cs-CZ"/>
        </w:rPr>
        <w:t xml:space="preserve">Odpověď: </w:t>
      </w:r>
    </w:p>
    <w:p w:rsidR="00CD7937" w:rsidRPr="000E41D9" w:rsidRDefault="00CD7937" w:rsidP="000E41D9">
      <w:pPr>
        <w:spacing w:after="0" w:line="240" w:lineRule="auto"/>
        <w:rPr>
          <w:rFonts w:eastAsia="Times New Roman" w:cs="Times New Roman"/>
          <w:bCs/>
          <w:lang w:eastAsia="cs-CZ"/>
        </w:rPr>
      </w:pPr>
      <w:r w:rsidRPr="000E41D9">
        <w:rPr>
          <w:rFonts w:eastAsia="Times New Roman" w:cs="Times New Roman"/>
          <w:bCs/>
          <w:lang w:eastAsia="cs-CZ"/>
        </w:rPr>
        <w:t xml:space="preserve">Obsazení a využití kolejí v síti Správy železnic pro uváděný účel je věcí konkrétního Plánu organizace výstavby Zhotovitele. Na základě požadavku Zhotovitele, podle kapacitních možností, kolej vyhradí příslušná organizační složka Správy železnic tj. Oblastní ředitelství Hradec Králové v koordinaci s Provozním obvodem. </w:t>
      </w:r>
    </w:p>
    <w:p w:rsidR="0096272A" w:rsidRPr="000E41D9" w:rsidRDefault="0096272A" w:rsidP="000E41D9">
      <w:pPr>
        <w:spacing w:line="240" w:lineRule="auto"/>
        <w:jc w:val="both"/>
        <w:rPr>
          <w:rFonts w:cstheme="minorHAnsi"/>
          <w:b/>
          <w:spacing w:val="4"/>
        </w:rPr>
      </w:pPr>
    </w:p>
    <w:p w:rsidR="0096272A" w:rsidRPr="000E41D9" w:rsidRDefault="0031433E" w:rsidP="000E41D9">
      <w:pPr>
        <w:spacing w:after="0" w:line="240" w:lineRule="auto"/>
        <w:jc w:val="both"/>
        <w:rPr>
          <w:rFonts w:cstheme="minorHAnsi"/>
          <w:b/>
          <w:spacing w:val="4"/>
        </w:rPr>
      </w:pPr>
      <w:r w:rsidRPr="000E41D9">
        <w:rPr>
          <w:rFonts w:cstheme="minorHAnsi"/>
          <w:b/>
          <w:spacing w:val="4"/>
        </w:rPr>
        <w:lastRenderedPageBreak/>
        <w:t>Dotaz č. 212 :</w:t>
      </w:r>
    </w:p>
    <w:p w:rsidR="0031433E" w:rsidRPr="000E41D9" w:rsidRDefault="0031433E" w:rsidP="000E41D9">
      <w:pPr>
        <w:spacing w:after="0" w:line="240" w:lineRule="auto"/>
        <w:jc w:val="both"/>
        <w:rPr>
          <w:rFonts w:cstheme="minorHAnsi"/>
          <w:b/>
          <w:spacing w:val="4"/>
        </w:rPr>
      </w:pPr>
      <w:r w:rsidRPr="000E41D9">
        <w:rPr>
          <w:rFonts w:cstheme="minorHAnsi"/>
        </w:rPr>
        <w:t xml:space="preserve">V zadávací dokumentaci jsme v dokladové části nenalezli část týkající se pozemků, pronájmů, poplatků, smlouvy o smlouvách budoucích, ze kterých vyplývá povinnost uchazeče převzít na sebe závazky vyplývající z těchto dokumentů. Může nám zadavatel oznámit jaká je situace s pozemky na případné přístupy ke staveništi, případně jestli má uchazeč nějaké závazky vyplývající z předjednaných </w:t>
      </w:r>
      <w:proofErr w:type="gramStart"/>
      <w:r w:rsidRPr="000E41D9">
        <w:rPr>
          <w:rFonts w:cstheme="minorHAnsi"/>
        </w:rPr>
        <w:t>dokumentů ?</w:t>
      </w:r>
      <w:proofErr w:type="gramEnd"/>
    </w:p>
    <w:p w:rsidR="0096272A" w:rsidRPr="000E41D9" w:rsidRDefault="0096272A" w:rsidP="000E41D9">
      <w:pPr>
        <w:spacing w:after="0" w:line="240" w:lineRule="auto"/>
        <w:rPr>
          <w:rFonts w:eastAsia="Calibri" w:cs="Times New Roman"/>
          <w:b/>
          <w:lang w:eastAsia="cs-CZ"/>
        </w:rPr>
      </w:pPr>
    </w:p>
    <w:p w:rsidR="0031433E" w:rsidRPr="000E41D9" w:rsidRDefault="0031433E" w:rsidP="000E41D9">
      <w:pPr>
        <w:spacing w:after="0" w:line="240" w:lineRule="auto"/>
        <w:rPr>
          <w:rFonts w:eastAsia="Calibri" w:cs="Times New Roman"/>
          <w:b/>
          <w:lang w:eastAsia="cs-CZ"/>
        </w:rPr>
      </w:pPr>
      <w:r w:rsidRPr="000E41D9">
        <w:rPr>
          <w:rFonts w:eastAsia="Calibri" w:cs="Times New Roman"/>
          <w:b/>
          <w:lang w:eastAsia="cs-CZ"/>
        </w:rPr>
        <w:t xml:space="preserve">Odpověď: </w:t>
      </w:r>
    </w:p>
    <w:p w:rsidR="00CD7937" w:rsidRPr="000E41D9" w:rsidRDefault="00CD7937" w:rsidP="000E41D9">
      <w:pPr>
        <w:spacing w:after="0" w:line="240" w:lineRule="auto"/>
        <w:rPr>
          <w:rFonts w:eastAsia="Times New Roman" w:cs="Times New Roman"/>
          <w:bCs/>
          <w:lang w:eastAsia="cs-CZ"/>
        </w:rPr>
      </w:pPr>
      <w:r w:rsidRPr="000E41D9">
        <w:rPr>
          <w:rFonts w:eastAsia="Times New Roman" w:cs="Times New Roman"/>
          <w:bCs/>
          <w:lang w:eastAsia="cs-CZ"/>
        </w:rPr>
        <w:t>Aktuálně se uzavírají s majiteli pozemků smlouvy o smlouvách budoucích nájemních dle § 1785 a násl. a § 2201 a násl. zákona č. 89/2012 Sb., občanský zákoník.</w:t>
      </w:r>
    </w:p>
    <w:p w:rsidR="00CD7937" w:rsidRPr="000E41D9" w:rsidRDefault="00CD7937" w:rsidP="000E41D9">
      <w:pPr>
        <w:spacing w:after="0" w:line="240" w:lineRule="auto"/>
        <w:rPr>
          <w:rFonts w:eastAsia="Times New Roman" w:cs="Times New Roman"/>
          <w:bCs/>
          <w:lang w:eastAsia="cs-CZ"/>
        </w:rPr>
      </w:pPr>
      <w:r w:rsidRPr="000E41D9">
        <w:rPr>
          <w:rFonts w:eastAsia="Times New Roman" w:cs="Times New Roman"/>
          <w:bCs/>
          <w:lang w:eastAsia="cs-CZ"/>
        </w:rPr>
        <w:t>V těchto smlouvách je uvedeno mimo jiné:</w:t>
      </w:r>
    </w:p>
    <w:p w:rsidR="00CD7937" w:rsidRPr="000E41D9" w:rsidRDefault="00CD7937" w:rsidP="000E41D9">
      <w:pPr>
        <w:spacing w:after="0" w:line="240" w:lineRule="auto"/>
        <w:rPr>
          <w:rFonts w:eastAsia="Times New Roman" w:cs="Times New Roman"/>
          <w:bCs/>
          <w:lang w:eastAsia="cs-CZ"/>
        </w:rPr>
      </w:pPr>
      <w:r w:rsidRPr="000E41D9">
        <w:rPr>
          <w:rFonts w:eastAsia="Times New Roman" w:cs="Times New Roman"/>
          <w:bCs/>
          <w:lang w:eastAsia="cs-CZ"/>
        </w:rPr>
        <w:t>•</w:t>
      </w:r>
      <w:r w:rsidRPr="000E41D9">
        <w:rPr>
          <w:rFonts w:eastAsia="Times New Roman" w:cs="Times New Roman"/>
          <w:bCs/>
          <w:lang w:eastAsia="cs-CZ"/>
        </w:rPr>
        <w:tab/>
        <w:t>předpokládaná výměra dočasného záboru</w:t>
      </w:r>
    </w:p>
    <w:p w:rsidR="00CD7937" w:rsidRPr="000E41D9" w:rsidRDefault="00CD7937" w:rsidP="000E41D9">
      <w:pPr>
        <w:spacing w:after="0" w:line="240" w:lineRule="auto"/>
        <w:rPr>
          <w:rFonts w:eastAsia="Times New Roman" w:cs="Times New Roman"/>
          <w:bCs/>
          <w:lang w:eastAsia="cs-CZ"/>
        </w:rPr>
      </w:pPr>
      <w:r w:rsidRPr="000E41D9">
        <w:rPr>
          <w:rFonts w:eastAsia="Times New Roman" w:cs="Times New Roman"/>
          <w:bCs/>
          <w:lang w:eastAsia="cs-CZ"/>
        </w:rPr>
        <w:t>•</w:t>
      </w:r>
      <w:r w:rsidRPr="000E41D9">
        <w:rPr>
          <w:rFonts w:eastAsia="Times New Roman" w:cs="Times New Roman"/>
          <w:bCs/>
          <w:lang w:eastAsia="cs-CZ"/>
        </w:rPr>
        <w:tab/>
        <w:t xml:space="preserve">ustanovení, že nájemné bude v následných smlouvách dohodnuto ve výši odpovídající výši nájemného z pozemků veřejné infrastruktury, na kterých není provozována podnikatelská činnost, jak je stanoveno aktuálními cenovými předpisy (Výměr Ministerstva financí č. 01/2020 ze dne 17. prosince 2019, kterým se vydává seznam zboží s regulovanými cenami a který byl uveřejněn v Cenovém věstníku Ministerstva financí č. 16/2019, část I., oddíl A, položka číslo 2. bod </w:t>
      </w:r>
      <w:proofErr w:type="gramStart"/>
      <w:r w:rsidRPr="000E41D9">
        <w:rPr>
          <w:rFonts w:eastAsia="Times New Roman" w:cs="Times New Roman"/>
          <w:bCs/>
          <w:lang w:eastAsia="cs-CZ"/>
        </w:rPr>
        <w:t>2.1.) platnými</w:t>
      </w:r>
      <w:proofErr w:type="gramEnd"/>
      <w:r w:rsidRPr="000E41D9">
        <w:rPr>
          <w:rFonts w:eastAsia="Times New Roman" w:cs="Times New Roman"/>
          <w:bCs/>
          <w:lang w:eastAsia="cs-CZ"/>
        </w:rPr>
        <w:t xml:space="preserve"> ke dni uzavření nájemní smlouvy</w:t>
      </w:r>
    </w:p>
    <w:p w:rsidR="00CD7937" w:rsidRPr="000E41D9" w:rsidRDefault="00CD7937" w:rsidP="000E41D9">
      <w:pPr>
        <w:spacing w:after="0" w:line="240" w:lineRule="auto"/>
        <w:rPr>
          <w:rFonts w:eastAsia="Times New Roman" w:cs="Times New Roman"/>
          <w:bCs/>
          <w:lang w:eastAsia="cs-CZ"/>
        </w:rPr>
      </w:pPr>
      <w:r w:rsidRPr="000E41D9">
        <w:rPr>
          <w:rFonts w:eastAsia="Times New Roman" w:cs="Times New Roman"/>
          <w:bCs/>
          <w:lang w:eastAsia="cs-CZ"/>
        </w:rPr>
        <w:t>•</w:t>
      </w:r>
      <w:r w:rsidRPr="000E41D9">
        <w:rPr>
          <w:rFonts w:eastAsia="Times New Roman" w:cs="Times New Roman"/>
          <w:bCs/>
          <w:lang w:eastAsia="cs-CZ"/>
        </w:rPr>
        <w:tab/>
        <w:t>závazek uvést po ukončení užívaní předmětný pozemek do předešlého stavu a nebude-li to možné, nahradit vlastníkovi pozemku případnou škodu, která by na předmětném pozemku vznikla v důsledku stavební činnosti, v penězích</w:t>
      </w:r>
    </w:p>
    <w:p w:rsidR="00CD7937" w:rsidRPr="000E41D9" w:rsidRDefault="00CD7937" w:rsidP="000E41D9">
      <w:pPr>
        <w:spacing w:after="0" w:line="240" w:lineRule="auto"/>
        <w:rPr>
          <w:rFonts w:eastAsia="Times New Roman" w:cs="Times New Roman"/>
          <w:bCs/>
          <w:lang w:eastAsia="cs-CZ"/>
        </w:rPr>
      </w:pPr>
      <w:r w:rsidRPr="000E41D9">
        <w:rPr>
          <w:rFonts w:eastAsia="Times New Roman" w:cs="Times New Roman"/>
          <w:bCs/>
          <w:lang w:eastAsia="cs-CZ"/>
        </w:rPr>
        <w:t>Nájemní smlouvy bude před zahájením stavebních prací uzavírat s majiteli zhotovitel stavby. Veškeré náklady na vypracování nájemních smluv a ostatní případné náklady s uzavřením nájemních smluv související uhradí zhotovitel stavby.</w:t>
      </w:r>
    </w:p>
    <w:p w:rsidR="0031433E" w:rsidRPr="000E41D9" w:rsidRDefault="0031433E" w:rsidP="000E41D9">
      <w:pPr>
        <w:spacing w:line="240" w:lineRule="auto"/>
        <w:jc w:val="both"/>
        <w:rPr>
          <w:rFonts w:cstheme="minorHAnsi"/>
          <w:spacing w:val="4"/>
        </w:rPr>
      </w:pPr>
    </w:p>
    <w:p w:rsidR="0031433E" w:rsidRPr="000E41D9" w:rsidRDefault="0031433E" w:rsidP="000E41D9">
      <w:pPr>
        <w:autoSpaceDE w:val="0"/>
        <w:autoSpaceDN w:val="0"/>
        <w:spacing w:after="0" w:line="240" w:lineRule="auto"/>
        <w:jc w:val="both"/>
        <w:rPr>
          <w:rFonts w:cstheme="minorHAnsi"/>
          <w:b/>
        </w:rPr>
      </w:pPr>
      <w:r w:rsidRPr="000E41D9">
        <w:rPr>
          <w:rFonts w:cstheme="minorHAnsi"/>
          <w:b/>
        </w:rPr>
        <w:t>Dotaz č. 213 :</w:t>
      </w:r>
    </w:p>
    <w:p w:rsidR="0031433E" w:rsidRDefault="0031433E" w:rsidP="000E41D9">
      <w:pPr>
        <w:autoSpaceDE w:val="0"/>
        <w:autoSpaceDN w:val="0"/>
        <w:spacing w:after="0" w:line="240" w:lineRule="auto"/>
        <w:jc w:val="both"/>
        <w:rPr>
          <w:rFonts w:cstheme="minorHAnsi"/>
        </w:rPr>
      </w:pPr>
      <w:r w:rsidRPr="000E41D9">
        <w:rPr>
          <w:rFonts w:cstheme="minorHAnsi"/>
        </w:rPr>
        <w:t xml:space="preserve">V SO 05-40-01 </w:t>
      </w:r>
      <w:proofErr w:type="spellStart"/>
      <w:r w:rsidRPr="000E41D9">
        <w:rPr>
          <w:rFonts w:cstheme="minorHAnsi"/>
        </w:rPr>
        <w:t>Žst.Brandýs</w:t>
      </w:r>
      <w:proofErr w:type="spellEnd"/>
      <w:r w:rsidRPr="000E41D9">
        <w:rPr>
          <w:rFonts w:cstheme="minorHAnsi"/>
        </w:rPr>
        <w:t xml:space="preserve"> </w:t>
      </w:r>
      <w:proofErr w:type="spellStart"/>
      <w:proofErr w:type="gramStart"/>
      <w:r w:rsidRPr="000E41D9">
        <w:rPr>
          <w:rFonts w:cstheme="minorHAnsi"/>
        </w:rPr>
        <w:t>n.O</w:t>
      </w:r>
      <w:proofErr w:type="spellEnd"/>
      <w:r w:rsidRPr="000E41D9">
        <w:rPr>
          <w:rFonts w:cstheme="minorHAnsi"/>
        </w:rPr>
        <w:t>.</w:t>
      </w:r>
      <w:proofErr w:type="gramEnd"/>
      <w:r w:rsidRPr="000E41D9">
        <w:rPr>
          <w:rFonts w:cstheme="minorHAnsi"/>
        </w:rPr>
        <w:t xml:space="preserve"> </w:t>
      </w:r>
      <w:proofErr w:type="spellStart"/>
      <w:r w:rsidRPr="000E41D9">
        <w:rPr>
          <w:rFonts w:cstheme="minorHAnsi"/>
        </w:rPr>
        <w:t>předjízdné</w:t>
      </w:r>
      <w:proofErr w:type="spellEnd"/>
      <w:r w:rsidRPr="000E41D9">
        <w:rPr>
          <w:rFonts w:cstheme="minorHAnsi"/>
        </w:rPr>
        <w:t xml:space="preserve"> koleje, </w:t>
      </w:r>
      <w:proofErr w:type="spellStart"/>
      <w:r w:rsidRPr="000E41D9">
        <w:rPr>
          <w:rFonts w:cstheme="minorHAnsi"/>
        </w:rPr>
        <w:t>kabelovod</w:t>
      </w:r>
      <w:proofErr w:type="spellEnd"/>
      <w:r w:rsidRPr="000E41D9">
        <w:rPr>
          <w:rFonts w:cstheme="minorHAnsi"/>
        </w:rPr>
        <w:t xml:space="preserve">, je poplatek za skládku, za různý druh odpadu, sečten pod jednu položku. Žádáme </w:t>
      </w:r>
      <w:proofErr w:type="gramStart"/>
      <w:r w:rsidRPr="000E41D9">
        <w:rPr>
          <w:rFonts w:cstheme="minorHAnsi"/>
        </w:rPr>
        <w:t>zadavatele aby</w:t>
      </w:r>
      <w:proofErr w:type="gramEnd"/>
      <w:r w:rsidRPr="000E41D9">
        <w:rPr>
          <w:rFonts w:cstheme="minorHAnsi"/>
        </w:rPr>
        <w:t xml:space="preserve"> dle zvyklostí rozdělil položku dle příslušné kategorizace, s měrnou jednotkou v T.</w:t>
      </w:r>
    </w:p>
    <w:p w:rsidR="000E41D9" w:rsidRPr="000E41D9" w:rsidRDefault="000E41D9" w:rsidP="000E41D9">
      <w:pPr>
        <w:autoSpaceDE w:val="0"/>
        <w:autoSpaceDN w:val="0"/>
        <w:spacing w:after="0" w:line="240" w:lineRule="auto"/>
        <w:jc w:val="both"/>
        <w:rPr>
          <w:rFonts w:cstheme="minorHAnsi"/>
        </w:rPr>
      </w:pPr>
    </w:p>
    <w:p w:rsidR="0031433E" w:rsidRPr="000E41D9" w:rsidRDefault="0031433E" w:rsidP="000E41D9">
      <w:pPr>
        <w:spacing w:after="0" w:line="240" w:lineRule="auto"/>
        <w:rPr>
          <w:rFonts w:eastAsia="Calibri" w:cs="Times New Roman"/>
          <w:b/>
          <w:lang w:eastAsia="cs-CZ"/>
        </w:rPr>
      </w:pPr>
      <w:r w:rsidRPr="000E41D9">
        <w:rPr>
          <w:rFonts w:eastAsia="Calibri" w:cs="Times New Roman"/>
          <w:b/>
          <w:lang w:eastAsia="cs-CZ"/>
        </w:rPr>
        <w:t xml:space="preserve">Odpověď: </w:t>
      </w: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Doplněny položky:</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č.39</w:t>
      </w:r>
      <w:proofErr w:type="gramEnd"/>
      <w:r w:rsidRPr="00CD7937">
        <w:rPr>
          <w:rFonts w:eastAsia="Times New Roman" w:cs="Times New Roman"/>
          <w:bCs/>
          <w:lang w:eastAsia="cs-CZ"/>
        </w:rPr>
        <w:t xml:space="preserve">, 015113, Poplatky za likvidaci odpadů nekontaminovaných  - 17 05 04 vytěžené zeminy a horniny - III. Tř. </w:t>
      </w:r>
      <w:proofErr w:type="gramStart"/>
      <w:r w:rsidRPr="00CD7937">
        <w:rPr>
          <w:rFonts w:eastAsia="Times New Roman" w:cs="Times New Roman"/>
          <w:bCs/>
          <w:lang w:eastAsia="cs-CZ"/>
        </w:rPr>
        <w:t>těžitelnosti</w:t>
      </w:r>
      <w:proofErr w:type="gramEnd"/>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č.40</w:t>
      </w:r>
      <w:proofErr w:type="gramEnd"/>
      <w:r w:rsidRPr="00CD7937">
        <w:rPr>
          <w:rFonts w:eastAsia="Times New Roman" w:cs="Times New Roman"/>
          <w:bCs/>
          <w:lang w:eastAsia="cs-CZ"/>
        </w:rPr>
        <w:t>, 015140, Poplatky za likvidaci odpadů nekontaminovaných  - 17 01 01 beton z demolic objektů</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č.41 015130</w:t>
      </w:r>
      <w:proofErr w:type="gramEnd"/>
      <w:r w:rsidRPr="00CD7937">
        <w:rPr>
          <w:rFonts w:eastAsia="Times New Roman" w:cs="Times New Roman"/>
          <w:bCs/>
          <w:lang w:eastAsia="cs-CZ"/>
        </w:rPr>
        <w:t>, Poplatky za likvidaci odpadů nekontaminovaných  - 17 03 02 vybouraný asfaltový beton bez dehtu</w:t>
      </w:r>
    </w:p>
    <w:p w:rsidR="0031433E" w:rsidRDefault="00CD7937" w:rsidP="000E41D9">
      <w:pPr>
        <w:autoSpaceDE w:val="0"/>
        <w:autoSpaceDN w:val="0"/>
        <w:spacing w:after="0" w:line="240" w:lineRule="auto"/>
        <w:jc w:val="both"/>
        <w:rPr>
          <w:rFonts w:eastAsia="Times New Roman" w:cs="Times New Roman"/>
          <w:bCs/>
          <w:i/>
          <w:iCs/>
          <w:lang w:eastAsia="cs-CZ"/>
        </w:rPr>
      </w:pPr>
      <w:r w:rsidRPr="00CD7937">
        <w:rPr>
          <w:rFonts w:eastAsia="Times New Roman" w:cs="Times New Roman"/>
          <w:bCs/>
          <w:i/>
          <w:iCs/>
          <w:lang w:eastAsia="cs-CZ"/>
        </w:rPr>
        <w:t>Upraven dokument SO054001_upr01.xlsm</w:t>
      </w:r>
    </w:p>
    <w:p w:rsidR="000E41D9" w:rsidRDefault="000E41D9" w:rsidP="000E41D9">
      <w:pPr>
        <w:autoSpaceDE w:val="0"/>
        <w:autoSpaceDN w:val="0"/>
        <w:spacing w:after="0" w:line="240" w:lineRule="auto"/>
        <w:jc w:val="both"/>
        <w:rPr>
          <w:rFonts w:eastAsia="Times New Roman" w:cs="Times New Roman"/>
          <w:bCs/>
          <w:i/>
          <w:iCs/>
          <w:lang w:eastAsia="cs-CZ"/>
        </w:rPr>
      </w:pPr>
    </w:p>
    <w:p w:rsidR="000E41D9" w:rsidRPr="000E41D9" w:rsidRDefault="000E41D9" w:rsidP="000E41D9">
      <w:pPr>
        <w:autoSpaceDE w:val="0"/>
        <w:autoSpaceDN w:val="0"/>
        <w:spacing w:after="0" w:line="240" w:lineRule="auto"/>
        <w:jc w:val="both"/>
        <w:rPr>
          <w:rFonts w:eastAsia="Times New Roman" w:cs="Times New Roman"/>
          <w:bCs/>
          <w:i/>
          <w:iCs/>
          <w:lang w:eastAsia="cs-CZ"/>
        </w:rPr>
      </w:pPr>
    </w:p>
    <w:p w:rsidR="0031433E" w:rsidRPr="000E41D9" w:rsidRDefault="0031433E" w:rsidP="000E41D9">
      <w:pPr>
        <w:spacing w:after="0" w:line="240" w:lineRule="auto"/>
        <w:jc w:val="both"/>
        <w:rPr>
          <w:rFonts w:cstheme="minorHAnsi"/>
          <w:b/>
          <w:bCs/>
        </w:rPr>
      </w:pPr>
      <w:r w:rsidRPr="000E41D9">
        <w:rPr>
          <w:rFonts w:cstheme="minorHAnsi"/>
          <w:b/>
          <w:bCs/>
        </w:rPr>
        <w:t>Dotaz č. 214 :</w:t>
      </w:r>
    </w:p>
    <w:p w:rsidR="0031433E" w:rsidRDefault="0031433E" w:rsidP="000E41D9">
      <w:pPr>
        <w:spacing w:after="0" w:line="240" w:lineRule="auto"/>
        <w:jc w:val="both"/>
        <w:rPr>
          <w:rFonts w:cstheme="minorHAnsi"/>
        </w:rPr>
      </w:pPr>
      <w:r w:rsidRPr="000E41D9">
        <w:rPr>
          <w:rFonts w:cstheme="minorHAnsi"/>
        </w:rPr>
        <w:t>Jelikož při provádění pažení bez výluky, vzniká velké riziko, dodavatelé tyto práce odmítají provádět. Tudíž nesouhlasíme s odpovědí na dotaz č. 151 a žádáme investora o zajištění potřebných výluk k bezpečnému provedení prací, které zároveň bude plně funkční pro obě stavební etapy, což nelze zaručit při větším posunu od osy os.</w:t>
      </w:r>
    </w:p>
    <w:p w:rsidR="000E41D9" w:rsidRPr="000E41D9" w:rsidRDefault="000E41D9" w:rsidP="000E41D9">
      <w:pPr>
        <w:spacing w:after="0" w:line="240" w:lineRule="auto"/>
        <w:jc w:val="both"/>
        <w:rPr>
          <w:rFonts w:cstheme="minorHAnsi"/>
        </w:rPr>
      </w:pPr>
    </w:p>
    <w:p w:rsidR="0031433E" w:rsidRPr="000E41D9" w:rsidRDefault="0031433E" w:rsidP="000E41D9">
      <w:pPr>
        <w:spacing w:after="0" w:line="240" w:lineRule="auto"/>
        <w:rPr>
          <w:rFonts w:eastAsia="Calibri" w:cs="Times New Roman"/>
          <w:b/>
          <w:lang w:eastAsia="cs-CZ"/>
        </w:rPr>
      </w:pPr>
      <w:r w:rsidRPr="000E41D9">
        <w:rPr>
          <w:rFonts w:eastAsia="Calibri" w:cs="Times New Roman"/>
          <w:b/>
          <w:lang w:eastAsia="cs-CZ"/>
        </w:rPr>
        <w:t xml:space="preserve">Odpověď: </w:t>
      </w:r>
    </w:p>
    <w:p w:rsidR="00CD7937" w:rsidRPr="00CD7937" w:rsidRDefault="00CD7937" w:rsidP="000E41D9">
      <w:pPr>
        <w:spacing w:after="0" w:line="240" w:lineRule="auto"/>
        <w:jc w:val="both"/>
        <w:rPr>
          <w:rFonts w:eastAsia="Times New Roman" w:cs="Times New Roman"/>
          <w:bCs/>
          <w:lang w:eastAsia="cs-CZ"/>
        </w:rPr>
      </w:pPr>
      <w:r w:rsidRPr="00CD7937">
        <w:rPr>
          <w:rFonts w:eastAsia="Times New Roman" w:cs="Times New Roman"/>
          <w:bCs/>
          <w:lang w:eastAsia="cs-CZ"/>
        </w:rPr>
        <w:t>Rizika provádění pažení ve stísněných podmínkách se sousední provozovanou kolejí jsme si vědomi. V</w:t>
      </w:r>
      <w:r w:rsidRPr="00CD7937">
        <w:rPr>
          <w:rFonts w:eastAsia="Verdana" w:cs="Times New Roman"/>
        </w:rPr>
        <w:t>zhledem k velmi zatíženému úseku trati však není možné ustoupit od výchozího požadavku na minimalizaci výluk. Proto je vhodné před samotnou realizací pažení provést přípravné práce ve výlukách, jež jsou primárně určeny pro jiné stavební objekty (vždy je však nutné brát zřetel na hlukovou zátěž okolí).</w:t>
      </w:r>
    </w:p>
    <w:p w:rsidR="00CD7937" w:rsidRPr="00CD7937" w:rsidRDefault="00CD7937" w:rsidP="000E41D9">
      <w:pPr>
        <w:spacing w:after="0" w:line="240" w:lineRule="auto"/>
        <w:jc w:val="both"/>
        <w:rPr>
          <w:rFonts w:eastAsia="Times New Roman" w:cs="Times New Roman"/>
          <w:bCs/>
          <w:lang w:eastAsia="cs-CZ"/>
        </w:rPr>
      </w:pPr>
      <w:r w:rsidRPr="00CD7937">
        <w:rPr>
          <w:rFonts w:eastAsia="Times New Roman" w:cs="Times New Roman"/>
          <w:bCs/>
          <w:lang w:eastAsia="cs-CZ"/>
        </w:rPr>
        <w:t xml:space="preserve">Z důvodu provádění pažení ve stísněných podmínkách se sousední provozovanou kolejí jsou </w:t>
      </w:r>
      <w:r w:rsidRPr="00CD7937">
        <w:rPr>
          <w:rFonts w:eastAsia="Times New Roman" w:cs="Times New Roman"/>
          <w:lang w:eastAsia="cs-CZ"/>
        </w:rPr>
        <w:t xml:space="preserve">před prováděním pažení pro SO 03-11-01 započítány v objektu železničního svršku SO 03-10-01 a položky na </w:t>
      </w:r>
      <w:proofErr w:type="gramStart"/>
      <w:r w:rsidRPr="00CD7937">
        <w:rPr>
          <w:rFonts w:eastAsia="Times New Roman" w:cs="Times New Roman"/>
          <w:lang w:eastAsia="cs-CZ"/>
        </w:rPr>
        <w:t>úpravu</w:t>
      </w:r>
      <w:r w:rsidRPr="00CD7937">
        <w:rPr>
          <w:rFonts w:eastAsia="Times New Roman" w:cs="Times New Roman"/>
          <w:bCs/>
          <w:lang w:eastAsia="cs-CZ"/>
        </w:rPr>
        <w:t xml:space="preserve"> 1.TK</w:t>
      </w:r>
      <w:proofErr w:type="gramEnd"/>
      <w:r w:rsidRPr="00CD7937">
        <w:rPr>
          <w:rFonts w:eastAsia="Times New Roman" w:cs="Times New Roman"/>
          <w:bCs/>
          <w:lang w:eastAsia="cs-CZ"/>
        </w:rPr>
        <w:t xml:space="preserve"> </w:t>
      </w:r>
      <w:r w:rsidRPr="00CD7937">
        <w:rPr>
          <w:rFonts w:eastAsia="Times New Roman" w:cs="Times New Roman"/>
          <w:lang w:eastAsia="cs-CZ"/>
        </w:rPr>
        <w:t>koleje</w:t>
      </w:r>
      <w:r w:rsidRPr="00CD7937">
        <w:rPr>
          <w:rFonts w:eastAsia="Times New Roman" w:cs="Times New Roman"/>
          <w:bCs/>
          <w:lang w:eastAsia="cs-CZ"/>
        </w:rPr>
        <w:t xml:space="preserve"> pomocí </w:t>
      </w:r>
      <w:r w:rsidRPr="00CD7937">
        <w:rPr>
          <w:rFonts w:eastAsia="Times New Roman" w:cs="Times New Roman"/>
          <w:lang w:eastAsia="cs-CZ"/>
        </w:rPr>
        <w:t>ASP</w:t>
      </w:r>
      <w:r w:rsidRPr="00CD7937">
        <w:rPr>
          <w:rFonts w:eastAsia="Times New Roman" w:cs="Times New Roman"/>
          <w:bCs/>
          <w:lang w:eastAsia="cs-CZ"/>
        </w:rPr>
        <w:t xml:space="preserve">, kdy bude v koleji </w:t>
      </w:r>
      <w:r w:rsidRPr="00CD7937">
        <w:rPr>
          <w:rFonts w:eastAsia="Times New Roman" w:cs="Times New Roman"/>
          <w:lang w:eastAsia="cs-CZ"/>
        </w:rPr>
        <w:t>sníženo převýšení na D=0 mm a provedeny příčné směrové posuny stávajícího kol. roštu optimálně až do cílové polohy</w:t>
      </w:r>
      <w:r w:rsidRPr="00CD7937">
        <w:rPr>
          <w:rFonts w:eastAsia="Verdana" w:cs="Times New Roman"/>
        </w:rPr>
        <w:t>. Tím dojde ke zvětšení osových vzdáleností kolejí a zároveň ke vzájemnému oddálení průjezdných průřezů obou kolejí. P</w:t>
      </w:r>
      <w:r w:rsidRPr="00CD7937">
        <w:rPr>
          <w:rFonts w:eastAsia="Times New Roman" w:cs="Times New Roman"/>
          <w:bCs/>
          <w:lang w:eastAsia="cs-CZ"/>
        </w:rPr>
        <w:t xml:space="preserve">řípadné vložení a následné </w:t>
      </w:r>
      <w:proofErr w:type="spellStart"/>
      <w:r w:rsidRPr="00CD7937">
        <w:rPr>
          <w:rFonts w:eastAsia="Times New Roman" w:cs="Times New Roman"/>
          <w:bCs/>
          <w:lang w:eastAsia="cs-CZ"/>
        </w:rPr>
        <w:t>vevaření</w:t>
      </w:r>
      <w:proofErr w:type="spellEnd"/>
      <w:r w:rsidRPr="00CD7937">
        <w:rPr>
          <w:rFonts w:eastAsia="Times New Roman" w:cs="Times New Roman"/>
          <w:bCs/>
          <w:lang w:eastAsia="cs-CZ"/>
        </w:rPr>
        <w:t xml:space="preserve"> kolejnicových vložek z důvodu zvětšení délky koleje v ose vlivem příčných směrových posunů a obnovení BK budou v nabídkové ceně součástí těchto položek. Pro SO 04-11-01 platí stejné zásady, pouze v opačném pořadí, tj. snížení převýšení a příčné posuny budou provedeny </w:t>
      </w:r>
      <w:proofErr w:type="gramStart"/>
      <w:r w:rsidRPr="00CD7937">
        <w:rPr>
          <w:rFonts w:eastAsia="Times New Roman" w:cs="Times New Roman"/>
          <w:bCs/>
          <w:lang w:eastAsia="cs-CZ"/>
        </w:rPr>
        <w:t>ve 2.TK</w:t>
      </w:r>
      <w:proofErr w:type="gramEnd"/>
      <w:r w:rsidRPr="00CD7937">
        <w:rPr>
          <w:rFonts w:eastAsia="Times New Roman" w:cs="Times New Roman"/>
          <w:bCs/>
          <w:lang w:eastAsia="cs-CZ"/>
        </w:rPr>
        <w:t xml:space="preserve">. </w:t>
      </w:r>
      <w:r w:rsidRPr="00CD7937">
        <w:rPr>
          <w:rFonts w:eastAsia="Times New Roman" w:cs="Times New Roman"/>
          <w:lang w:eastAsia="cs-CZ"/>
        </w:rPr>
        <w:t>Dále je v rámci realizace pažení</w:t>
      </w:r>
      <w:r w:rsidRPr="00CD7937">
        <w:rPr>
          <w:rFonts w:eastAsia="Times New Roman" w:cs="Times New Roman"/>
          <w:bCs/>
          <w:lang w:eastAsia="cs-CZ"/>
        </w:rPr>
        <w:t xml:space="preserve"> pro SO 03-11-01 a SO 04-11-01 </w:t>
      </w:r>
      <w:r w:rsidRPr="00CD7937">
        <w:rPr>
          <w:rFonts w:eastAsia="Times New Roman" w:cs="Times New Roman"/>
          <w:lang w:eastAsia="cs-CZ"/>
        </w:rPr>
        <w:t>předpokládáno</w:t>
      </w:r>
      <w:r w:rsidRPr="00CD7937">
        <w:rPr>
          <w:rFonts w:eastAsia="Times New Roman" w:cs="Times New Roman"/>
          <w:bCs/>
          <w:lang w:eastAsia="cs-CZ"/>
        </w:rPr>
        <w:t xml:space="preserve">, </w:t>
      </w:r>
      <w:r w:rsidRPr="00CD7937">
        <w:rPr>
          <w:rFonts w:eastAsia="Times New Roman" w:cs="Times New Roman"/>
          <w:lang w:eastAsia="cs-CZ"/>
        </w:rPr>
        <w:t xml:space="preserve">že pažící stroj se </w:t>
      </w:r>
      <w:r w:rsidRPr="00CD7937">
        <w:rPr>
          <w:rFonts w:eastAsia="Times New Roman" w:cs="Times New Roman"/>
          <w:lang w:eastAsia="cs-CZ"/>
        </w:rPr>
        <w:lastRenderedPageBreak/>
        <w:t>bude pohybovat v prostoru, kde bude již snesen kolejový rošt a částečně odtěženo kolejové lože</w:t>
      </w:r>
      <w:r w:rsidRPr="00CD7937">
        <w:rPr>
          <w:rFonts w:eastAsia="Times New Roman" w:cs="Times New Roman"/>
          <w:bCs/>
          <w:lang w:eastAsia="cs-CZ"/>
        </w:rPr>
        <w:t>, a to z důvodu zvýšení vzdálenosti od funkční trakce v sousední provozované koleji. V prostoru realizace pažení v SO 03-11-01 a SO 04-11-01 je navržen jednotný dostředný sklon pláně v obou traťových kolejích, takže pažení není nezbytně nutné provádět přímo v ose os. V SO 02-10-01 je položka na snížení převýšení a případné příčné posuny pro tyto účely obsažena také.</w:t>
      </w:r>
    </w:p>
    <w:p w:rsidR="0031433E" w:rsidRPr="000E41D9" w:rsidRDefault="0031433E" w:rsidP="000E41D9">
      <w:pPr>
        <w:spacing w:line="240" w:lineRule="auto"/>
        <w:jc w:val="both"/>
        <w:rPr>
          <w:rFonts w:cstheme="minorHAnsi"/>
        </w:rPr>
      </w:pPr>
    </w:p>
    <w:p w:rsidR="0031433E" w:rsidRPr="000E41D9" w:rsidRDefault="0031433E" w:rsidP="000E41D9">
      <w:pPr>
        <w:spacing w:after="0" w:line="240" w:lineRule="auto"/>
        <w:jc w:val="both"/>
        <w:rPr>
          <w:rFonts w:cstheme="minorHAnsi"/>
          <w:b/>
          <w:bCs/>
        </w:rPr>
      </w:pPr>
      <w:r w:rsidRPr="000E41D9">
        <w:rPr>
          <w:rFonts w:cstheme="minorHAnsi"/>
          <w:b/>
          <w:bCs/>
        </w:rPr>
        <w:t>Dotaz č. 215 :</w:t>
      </w:r>
    </w:p>
    <w:p w:rsidR="0031433E" w:rsidRPr="000E41D9" w:rsidRDefault="0031433E" w:rsidP="000E41D9">
      <w:pPr>
        <w:spacing w:after="0" w:line="240" w:lineRule="auto"/>
        <w:jc w:val="both"/>
        <w:rPr>
          <w:rFonts w:cstheme="minorHAnsi"/>
        </w:rPr>
      </w:pPr>
      <w:r w:rsidRPr="000E41D9">
        <w:rPr>
          <w:rFonts w:cstheme="minorHAnsi"/>
        </w:rPr>
        <w:t>Žádáme zadavatele o úpravu VV.</w:t>
      </w:r>
    </w:p>
    <w:p w:rsidR="0031433E" w:rsidRPr="000E41D9" w:rsidRDefault="0031433E" w:rsidP="000E41D9">
      <w:pPr>
        <w:spacing w:after="0" w:line="240" w:lineRule="auto"/>
        <w:jc w:val="both"/>
        <w:rPr>
          <w:rFonts w:cstheme="minorHAnsi"/>
        </w:rPr>
      </w:pPr>
      <w:r w:rsidRPr="000E41D9">
        <w:rPr>
          <w:rFonts w:cstheme="minorHAnsi"/>
        </w:rPr>
        <w:t>V SO 03-10-01.1_upr01 je chybný součet za oddíl Komunikace a v </w:t>
      </w:r>
      <w:proofErr w:type="gramStart"/>
      <w:r w:rsidRPr="000E41D9">
        <w:rPr>
          <w:rFonts w:cstheme="minorHAnsi"/>
        </w:rPr>
        <w:t>pol.č.</w:t>
      </w:r>
      <w:proofErr w:type="gramEnd"/>
      <w:r w:rsidRPr="000E41D9">
        <w:rPr>
          <w:rFonts w:cstheme="minorHAnsi"/>
        </w:rPr>
        <w:t>2 je množství uvedeno vzorcem.</w:t>
      </w:r>
    </w:p>
    <w:p w:rsidR="0031433E" w:rsidRPr="000E41D9" w:rsidRDefault="0031433E" w:rsidP="000E41D9">
      <w:pPr>
        <w:spacing w:after="0" w:line="240" w:lineRule="auto"/>
        <w:jc w:val="both"/>
        <w:rPr>
          <w:rFonts w:cstheme="minorHAnsi"/>
        </w:rPr>
      </w:pPr>
      <w:r w:rsidRPr="000E41D9">
        <w:rPr>
          <w:rFonts w:cstheme="minorHAnsi"/>
        </w:rPr>
        <w:t>V SO 05-20-01.1_upr01 je chybný součet za oddíl Všeobecné položky</w:t>
      </w:r>
    </w:p>
    <w:p w:rsidR="0031433E" w:rsidRPr="000E41D9" w:rsidRDefault="0031433E" w:rsidP="000E41D9">
      <w:pPr>
        <w:spacing w:after="0" w:line="240" w:lineRule="auto"/>
        <w:jc w:val="both"/>
        <w:rPr>
          <w:rFonts w:cstheme="minorHAnsi"/>
        </w:rPr>
      </w:pPr>
      <w:r w:rsidRPr="000E41D9">
        <w:rPr>
          <w:rFonts w:cstheme="minorHAnsi"/>
        </w:rPr>
        <w:t>V SO 05-20-01</w:t>
      </w:r>
      <w:r w:rsidRPr="000E41D9">
        <w:rPr>
          <w:rFonts w:cstheme="minorHAnsi"/>
        </w:rPr>
        <w:softHyphen/>
        <w:t>_upr02 je v </w:t>
      </w:r>
      <w:proofErr w:type="gramStart"/>
      <w:r w:rsidRPr="000E41D9">
        <w:rPr>
          <w:rFonts w:cstheme="minorHAnsi"/>
        </w:rPr>
        <w:t>pol.4,46,77</w:t>
      </w:r>
      <w:proofErr w:type="gramEnd"/>
      <w:r w:rsidRPr="000E41D9">
        <w:rPr>
          <w:rFonts w:cstheme="minorHAnsi"/>
        </w:rPr>
        <w:t xml:space="preserve"> množství uvedeno na více desetinných míst</w:t>
      </w:r>
    </w:p>
    <w:p w:rsidR="0031433E" w:rsidRPr="000E41D9" w:rsidRDefault="0031433E" w:rsidP="000E41D9">
      <w:pPr>
        <w:spacing w:after="0" w:line="240" w:lineRule="auto"/>
        <w:jc w:val="both"/>
        <w:rPr>
          <w:rFonts w:cstheme="minorHAnsi"/>
        </w:rPr>
      </w:pPr>
      <w:r w:rsidRPr="000E41D9">
        <w:rPr>
          <w:rFonts w:cstheme="minorHAnsi"/>
        </w:rPr>
        <w:t>V SO 05-62-01_upr1 je ve více případech množství uvedeno na více desetinných míst</w:t>
      </w:r>
    </w:p>
    <w:p w:rsidR="0031433E" w:rsidRDefault="0031433E" w:rsidP="000E41D9">
      <w:pPr>
        <w:spacing w:after="0" w:line="240" w:lineRule="auto"/>
        <w:jc w:val="both"/>
        <w:rPr>
          <w:rFonts w:cstheme="minorHAnsi"/>
        </w:rPr>
      </w:pPr>
      <w:r w:rsidRPr="000E41D9">
        <w:rPr>
          <w:rFonts w:cstheme="minorHAnsi"/>
        </w:rPr>
        <w:t>V SO 05-62-02_upr1 je ve více případech množství uvedeno na více desetinných míst</w:t>
      </w:r>
    </w:p>
    <w:p w:rsidR="000E41D9" w:rsidRPr="000E41D9" w:rsidRDefault="000E41D9" w:rsidP="000E41D9">
      <w:pPr>
        <w:spacing w:after="0" w:line="240" w:lineRule="auto"/>
        <w:jc w:val="both"/>
        <w:rPr>
          <w:rFonts w:cstheme="minorHAnsi"/>
        </w:rPr>
      </w:pPr>
    </w:p>
    <w:p w:rsidR="0031433E" w:rsidRPr="000E41D9" w:rsidRDefault="0031433E" w:rsidP="000E41D9">
      <w:pPr>
        <w:spacing w:after="0" w:line="240" w:lineRule="auto"/>
        <w:rPr>
          <w:rFonts w:eastAsia="Calibri" w:cs="Times New Roman"/>
          <w:b/>
          <w:lang w:eastAsia="cs-CZ"/>
        </w:rPr>
      </w:pPr>
      <w:r w:rsidRPr="000E41D9">
        <w:rPr>
          <w:rFonts w:eastAsia="Calibri" w:cs="Times New Roman"/>
          <w:b/>
          <w:lang w:eastAsia="cs-CZ"/>
        </w:rPr>
        <w:t xml:space="preserve">Odpověď: </w:t>
      </w: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V soupisu prací upraveno:</w:t>
      </w:r>
    </w:p>
    <w:p w:rsidR="00CD7937" w:rsidRPr="00CD7937" w:rsidRDefault="00CD7937" w:rsidP="000E41D9">
      <w:pPr>
        <w:spacing w:after="0" w:line="240" w:lineRule="auto"/>
        <w:rPr>
          <w:rFonts w:eastAsia="Times New Roman" w:cs="Times New Roman"/>
          <w:bCs/>
          <w:lang w:eastAsia="cs-CZ"/>
        </w:rPr>
      </w:pP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ve SO 03-10-01.1:</w:t>
      </w: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součet za oddíl Komunikace (úprava vzorce)</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2 54231R NÁSLEDNÁ ÚPRAVA SMĚROVÉHO A VÝŠKOVÉHO USPOŘÁDÁNÍ KOLEJE (odstranění vzorce v buňce množství)</w:t>
      </w:r>
    </w:p>
    <w:p w:rsidR="00CD7937" w:rsidRPr="00CD7937" w:rsidRDefault="00CD7937" w:rsidP="000E41D9">
      <w:pPr>
        <w:spacing w:after="0" w:line="240" w:lineRule="auto"/>
        <w:rPr>
          <w:rFonts w:eastAsia="Times New Roman" w:cs="Times New Roman"/>
          <w:bCs/>
          <w:lang w:eastAsia="cs-CZ"/>
        </w:rPr>
      </w:pP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ve SO 05-20-01.1:</w:t>
      </w: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součet za oddíl Všeobecné položky (úprava vzorce)</w:t>
      </w:r>
    </w:p>
    <w:p w:rsidR="00CD7937" w:rsidRPr="00CD7937" w:rsidRDefault="00CD7937" w:rsidP="000E41D9">
      <w:pPr>
        <w:spacing w:after="0" w:line="240" w:lineRule="auto"/>
        <w:rPr>
          <w:rFonts w:eastAsia="Times New Roman" w:cs="Times New Roman"/>
          <w:bCs/>
          <w:lang w:eastAsia="cs-CZ"/>
        </w:rPr>
      </w:pP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ve SO 05-20-01:</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4 R_015570 POPLATKY ZA LIKVIDACŮ ODPADŮ NEBEZPEČNÝCH - 17 03 03* ASFALTOVÉ STAVEBNÍ NÁTĚRY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46 33717 SLOUPKY PROTIHLUK STĚN Z DÍLCŮ KOVOVÝCH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77 96618A BOURÁNÍ KONSTRUKCÍ KOVOVÝCH – BEZ DOPRAVY (upraven rozsah desetinných míst)</w:t>
      </w:r>
    </w:p>
    <w:p w:rsidR="00CD7937" w:rsidRPr="00CD7937" w:rsidRDefault="00CD7937" w:rsidP="000E41D9">
      <w:pPr>
        <w:spacing w:after="0" w:line="240" w:lineRule="auto"/>
        <w:rPr>
          <w:rFonts w:eastAsia="Times New Roman" w:cs="Times New Roman"/>
          <w:bCs/>
          <w:lang w:eastAsia="cs-CZ"/>
        </w:rPr>
      </w:pP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ve SO 05-62-01:</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14 7455206R Opláštění bočních stěn sendvičovým panelem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15 7455207R Opláštění bočních stěn sendvičovým panelem – montáž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18 7455210R Opláštění bočních stěn bezpečnostním sklem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19 7455211R Opláštění bočních stěn bezpečnostním sklem – montáž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 xml:space="preserve">20 7455212R </w:t>
      </w:r>
      <w:proofErr w:type="spellStart"/>
      <w:r w:rsidRPr="00CD7937">
        <w:rPr>
          <w:rFonts w:eastAsia="Times New Roman" w:cs="Times New Roman"/>
          <w:bCs/>
          <w:lang w:eastAsia="cs-CZ"/>
        </w:rPr>
        <w:t>Rektifikovatelná</w:t>
      </w:r>
      <w:proofErr w:type="spellEnd"/>
      <w:r w:rsidRPr="00CD7937">
        <w:rPr>
          <w:rFonts w:eastAsia="Times New Roman" w:cs="Times New Roman"/>
          <w:bCs/>
          <w:lang w:eastAsia="cs-CZ"/>
        </w:rPr>
        <w:t xml:space="preserve"> podkonstrukce pro opláštění sloupů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 xml:space="preserve">21 7455212R </w:t>
      </w:r>
      <w:proofErr w:type="spellStart"/>
      <w:r w:rsidRPr="00CD7937">
        <w:rPr>
          <w:rFonts w:eastAsia="Times New Roman" w:cs="Times New Roman"/>
          <w:bCs/>
          <w:lang w:eastAsia="cs-CZ"/>
        </w:rPr>
        <w:t>Rektifikovatelná</w:t>
      </w:r>
      <w:proofErr w:type="spellEnd"/>
      <w:r w:rsidRPr="00CD7937">
        <w:rPr>
          <w:rFonts w:eastAsia="Times New Roman" w:cs="Times New Roman"/>
          <w:bCs/>
          <w:lang w:eastAsia="cs-CZ"/>
        </w:rPr>
        <w:t xml:space="preserve"> podkonstrukce pro opláštění sloupů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22 7455214R Obklad sloupu lakovaným plechem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23 7455215R Obklad sloupu lakovaným plechem – montáž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28 7672304R Ocelové konstrukce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29 7672305R Ocelové konstrukce – montáž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31 7689690R Žárové zinkování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32 7689691R Nátěry ocelové konstrukce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33 7689692R Příplatek za nátěr ocelové konstrukce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34 7689693R Oprava PKO po přepravě a montáži (upraven rozsah desetinných míst)</w:t>
      </w:r>
    </w:p>
    <w:p w:rsidR="00CD7937" w:rsidRPr="00CD7937" w:rsidRDefault="00CD7937" w:rsidP="000E41D9">
      <w:pPr>
        <w:spacing w:after="0" w:line="240" w:lineRule="auto"/>
        <w:rPr>
          <w:rFonts w:eastAsia="Times New Roman" w:cs="Times New Roman"/>
          <w:bCs/>
          <w:lang w:eastAsia="cs-CZ"/>
        </w:rPr>
      </w:pP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ve SO 05-62-02:</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12, 272365R Výztuž základů z oceli 10505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27, 7455206R Opláštění bočních stěn sendvičovým panelem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lastRenderedPageBreak/>
        <w:t>pol.č.</w:t>
      </w:r>
      <w:proofErr w:type="gramEnd"/>
      <w:r w:rsidRPr="00CD7937">
        <w:rPr>
          <w:rFonts w:eastAsia="Times New Roman" w:cs="Times New Roman"/>
          <w:bCs/>
          <w:lang w:eastAsia="cs-CZ"/>
        </w:rPr>
        <w:t>28, 7455207R Opláštění bočních stěn sendvičovým panelem – montáž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31, 7455210R Opláštění bočních stěn bezpečnostním sklem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32, 7455211R Opláštění bočních stěn bezpečnostním sklem – montáž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 xml:space="preserve">33, 7455212R </w:t>
      </w:r>
      <w:proofErr w:type="spellStart"/>
      <w:r w:rsidRPr="00CD7937">
        <w:rPr>
          <w:rFonts w:eastAsia="Times New Roman" w:cs="Times New Roman"/>
          <w:bCs/>
          <w:lang w:eastAsia="cs-CZ"/>
        </w:rPr>
        <w:t>Rektifikovatelná</w:t>
      </w:r>
      <w:proofErr w:type="spellEnd"/>
      <w:r w:rsidRPr="00CD7937">
        <w:rPr>
          <w:rFonts w:eastAsia="Times New Roman" w:cs="Times New Roman"/>
          <w:bCs/>
          <w:lang w:eastAsia="cs-CZ"/>
        </w:rPr>
        <w:t xml:space="preserve"> podkonstrukce pro opláštění sloupů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 xml:space="preserve">34, 7455213R </w:t>
      </w:r>
      <w:proofErr w:type="spellStart"/>
      <w:r w:rsidRPr="00CD7937">
        <w:rPr>
          <w:rFonts w:eastAsia="Times New Roman" w:cs="Times New Roman"/>
          <w:bCs/>
          <w:lang w:eastAsia="cs-CZ"/>
        </w:rPr>
        <w:t>Rektifikovatelná</w:t>
      </w:r>
      <w:proofErr w:type="spellEnd"/>
      <w:r w:rsidRPr="00CD7937">
        <w:rPr>
          <w:rFonts w:eastAsia="Times New Roman" w:cs="Times New Roman"/>
          <w:bCs/>
          <w:lang w:eastAsia="cs-CZ"/>
        </w:rPr>
        <w:t xml:space="preserve"> podkonstrukce pro opláštění sloupů – montáž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35, 7455214R Obklad sloupu lakovaným plechem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36 7455215R Obklad sloupu lakovaným plechem – montáž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41, 7672304R Ocelové konstrukce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42, 7672305R Ocelové konstrukce – montáž (upraven rozsah desetinných míst)</w:t>
      </w: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 xml:space="preserve">pol.č.44, 7689690R Žárové </w:t>
      </w:r>
      <w:proofErr w:type="gramStart"/>
      <w:r w:rsidRPr="00CD7937">
        <w:rPr>
          <w:rFonts w:eastAsia="Times New Roman" w:cs="Times New Roman"/>
          <w:bCs/>
          <w:lang w:eastAsia="cs-CZ"/>
        </w:rPr>
        <w:t>zinkování  (upraven</w:t>
      </w:r>
      <w:proofErr w:type="gramEnd"/>
      <w:r w:rsidRPr="00CD7937">
        <w:rPr>
          <w:rFonts w:eastAsia="Times New Roman" w:cs="Times New Roman"/>
          <w:bCs/>
          <w:lang w:eastAsia="cs-CZ"/>
        </w:rPr>
        <w:t xml:space="preserve">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45 7689691R Nátěry ocelové konstrukce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46, 7689692R Příplatek za nátěr ocelové konstrukce (upraven rozsah desetinných míst)</w:t>
      </w:r>
    </w:p>
    <w:p w:rsidR="00CD7937" w:rsidRPr="00CD7937" w:rsidRDefault="00CD7937" w:rsidP="000E41D9">
      <w:pPr>
        <w:spacing w:after="0" w:line="240" w:lineRule="auto"/>
        <w:rPr>
          <w:rFonts w:eastAsia="Times New Roman" w:cs="Times New Roman"/>
          <w:bCs/>
          <w:lang w:eastAsia="cs-CZ"/>
        </w:rPr>
      </w:pPr>
      <w:proofErr w:type="gramStart"/>
      <w:r w:rsidRPr="00CD7937">
        <w:rPr>
          <w:rFonts w:eastAsia="Times New Roman" w:cs="Times New Roman"/>
          <w:bCs/>
          <w:lang w:eastAsia="cs-CZ"/>
        </w:rPr>
        <w:t>pol.č.</w:t>
      </w:r>
      <w:proofErr w:type="gramEnd"/>
      <w:r w:rsidRPr="00CD7937">
        <w:rPr>
          <w:rFonts w:eastAsia="Times New Roman" w:cs="Times New Roman"/>
          <w:bCs/>
          <w:lang w:eastAsia="cs-CZ"/>
        </w:rPr>
        <w:t>47, 7689693R Oprava PKO po přepravě a montáži (upraven rozsah desetinných míst)</w:t>
      </w:r>
    </w:p>
    <w:p w:rsidR="00CD7937" w:rsidRPr="00CD7937" w:rsidRDefault="00CD7937" w:rsidP="000E41D9">
      <w:pPr>
        <w:spacing w:after="0" w:line="240" w:lineRule="auto"/>
        <w:rPr>
          <w:rFonts w:eastAsia="Times New Roman" w:cs="Times New Roman"/>
          <w:bCs/>
          <w:lang w:eastAsia="cs-CZ"/>
        </w:rPr>
      </w:pPr>
    </w:p>
    <w:p w:rsidR="00CD7937" w:rsidRPr="00CD7937" w:rsidRDefault="00CD7937" w:rsidP="000E41D9">
      <w:pPr>
        <w:spacing w:after="0" w:line="240" w:lineRule="auto"/>
        <w:rPr>
          <w:rFonts w:eastAsia="Times New Roman" w:cs="Times New Roman"/>
          <w:bCs/>
          <w:i/>
          <w:iCs/>
          <w:lang w:eastAsia="cs-CZ"/>
        </w:rPr>
      </w:pPr>
      <w:r w:rsidRPr="00CD7937">
        <w:rPr>
          <w:rFonts w:eastAsia="Times New Roman" w:cs="Times New Roman"/>
          <w:bCs/>
          <w:i/>
          <w:iCs/>
          <w:lang w:eastAsia="cs-CZ"/>
        </w:rPr>
        <w:t>Upraven dokument SO031001_1_upr02.xlsm, SO052001_1_upr02.xlsm, SO052001_upr03.xlsm, SO056201_upr02.xlsm, SO056202_upr02.xlsm. Změny jsou v souborech vyznačeny červeně.</w:t>
      </w:r>
    </w:p>
    <w:p w:rsidR="0031433E" w:rsidRDefault="0031433E" w:rsidP="000E41D9">
      <w:pPr>
        <w:spacing w:after="0" w:line="240" w:lineRule="auto"/>
        <w:jc w:val="both"/>
        <w:rPr>
          <w:rFonts w:cstheme="minorHAnsi"/>
          <w:b/>
          <w:bCs/>
        </w:rPr>
      </w:pPr>
    </w:p>
    <w:p w:rsidR="000E41D9" w:rsidRPr="000E41D9" w:rsidRDefault="000E41D9" w:rsidP="000E41D9">
      <w:pPr>
        <w:spacing w:after="0" w:line="240" w:lineRule="auto"/>
        <w:jc w:val="both"/>
        <w:rPr>
          <w:rFonts w:cstheme="minorHAnsi"/>
          <w:b/>
          <w:bCs/>
        </w:rPr>
      </w:pPr>
    </w:p>
    <w:p w:rsidR="0031433E" w:rsidRPr="000E41D9" w:rsidRDefault="0031433E" w:rsidP="000E41D9">
      <w:pPr>
        <w:spacing w:after="0" w:line="240" w:lineRule="auto"/>
        <w:jc w:val="both"/>
        <w:rPr>
          <w:rFonts w:cstheme="minorHAnsi"/>
          <w:b/>
          <w:bCs/>
        </w:rPr>
      </w:pPr>
      <w:r w:rsidRPr="000E41D9">
        <w:rPr>
          <w:rFonts w:cstheme="minorHAnsi"/>
          <w:b/>
          <w:bCs/>
        </w:rPr>
        <w:t>Dotaz č. 216 :</w:t>
      </w:r>
    </w:p>
    <w:p w:rsidR="0031433E" w:rsidRPr="000E41D9" w:rsidRDefault="0031433E" w:rsidP="000E41D9">
      <w:pPr>
        <w:spacing w:after="0" w:line="240" w:lineRule="auto"/>
        <w:jc w:val="both"/>
      </w:pPr>
      <w:r w:rsidRPr="000E41D9">
        <w:t xml:space="preserve">Po prostudování všech zadávacích podkladů a po prohlídce stavby upozorňujeme zadavatele na nemožnost splnění podmínek provozu cyklostezky a místní komunikace Klopoty stanovených ve vyjádření Policie </w:t>
      </w:r>
      <w:proofErr w:type="gramStart"/>
      <w:r w:rsidRPr="000E41D9">
        <w:t>ČR,ROT</w:t>
      </w:r>
      <w:proofErr w:type="gramEnd"/>
      <w:r w:rsidRPr="000E41D9">
        <w:t xml:space="preserve"> a obce Orlické Podhůří pro staveništní dopravu po dobu provádění stavby. Pro realizaci většiny umělých staveb a objektů svršků a spodků prováděných klasickou metodou se snesením kolejového svršku(Bezpráví a Brandýs </w:t>
      </w:r>
      <w:proofErr w:type="spellStart"/>
      <w:proofErr w:type="gramStart"/>
      <w:r w:rsidRPr="000E41D9">
        <w:t>n.O</w:t>
      </w:r>
      <w:proofErr w:type="spellEnd"/>
      <w:r w:rsidRPr="000E41D9">
        <w:t>.</w:t>
      </w:r>
      <w:proofErr w:type="gramEnd"/>
      <w:r w:rsidRPr="000E41D9">
        <w:t xml:space="preserve">) není možné využít kolejovou dopravu pro odvoz vybouraného a dovoz nového materiálu s ohledem na intenzitu dopravy na vedlejší provozované koleji. Vzhledem k množství umělých staveb v jednotlivých úsecích nelze použít pro dopravní trasu ani opravovanou kolej. Aby dodavatel stavby dodržel podmínky zadání, nepřekročil předepsané termíny výluk, musí mít zajištěn přístup ke všem objektům prakticky po celou dobu stavby jinak, než po koleji, což znamená plné využití cyklostezky a místní komunikace, kde ale není možné za provozu dodržet velice důležité podmínky BOZP. Je zřejmé, že cyklostezka i komunikace přes Klopoty není na těžkou dopravu stavěna a během stavby bude poškozena. Žádný dodavatel ale není schopen v daných termínech kromě realizace vlastní stavby ještě udržovat během pracovního týdne jedinou přístupovou komunikaci v takovém stavu, aby byla stále bezpečně sjízdná a aby ji byl schopen na konci pracovního týdne opustit a předat k bezpečnému provozu cyklistů, bruslařů a chodců. Žádný dodavatel není schopen </w:t>
      </w:r>
      <w:proofErr w:type="gramStart"/>
      <w:r w:rsidRPr="000E41D9">
        <w:t>zajistit  bezpečnost</w:t>
      </w:r>
      <w:proofErr w:type="gramEnd"/>
      <w:r w:rsidRPr="000E41D9">
        <w:t xml:space="preserve"> všech osob pohybujících se po 10 km dlouhé cyklostezce v případě, že nebude úplně vyloučen její provoz v průběhu stavby. Jen pro představu, </w:t>
      </w:r>
      <w:proofErr w:type="gramStart"/>
      <w:r w:rsidRPr="000E41D9">
        <w:t>například z 700</w:t>
      </w:r>
      <w:proofErr w:type="gramEnd"/>
      <w:r w:rsidRPr="000E41D9">
        <w:t xml:space="preserve"> m dlouhého úseku 03 výhybna Bezpráví je po komunikaci přes Klopoty a cyklostezku nutno odvozit cca 9200m3 zeminy a vybouraných materiálů a dovézt přes 320 m3 betonu a více než 5 300 m3 různých druhů kameniva.</w:t>
      </w:r>
    </w:p>
    <w:p w:rsidR="0031433E" w:rsidRPr="000E41D9" w:rsidRDefault="0031433E" w:rsidP="000E41D9">
      <w:pPr>
        <w:spacing w:line="240" w:lineRule="auto"/>
        <w:jc w:val="both"/>
      </w:pPr>
      <w:r w:rsidRPr="000E41D9">
        <w:t>Žádáme uzavření cyklostezky a místní komunikace Klopoty pro potřebu stavby. Zároveň se ptáme, jaká případně</w:t>
      </w:r>
      <w:r w:rsidRPr="000E41D9">
        <w:rPr>
          <w:b/>
          <w:bCs/>
        </w:rPr>
        <w:t xml:space="preserve"> </w:t>
      </w:r>
      <w:r w:rsidRPr="000E41D9">
        <w:t>bude sankce za nedodržení podmínky o provozování cyklostezky staveništní dopravou o víkendech v období duben-září?</w:t>
      </w:r>
    </w:p>
    <w:p w:rsidR="0031433E" w:rsidRPr="000E41D9" w:rsidRDefault="0031433E" w:rsidP="000E41D9">
      <w:pPr>
        <w:spacing w:after="0" w:line="240" w:lineRule="auto"/>
        <w:rPr>
          <w:rFonts w:eastAsia="Calibri" w:cs="Times New Roman"/>
          <w:b/>
          <w:lang w:eastAsia="cs-CZ"/>
        </w:rPr>
      </w:pPr>
      <w:r w:rsidRPr="000E41D9">
        <w:rPr>
          <w:rFonts w:eastAsia="Calibri" w:cs="Times New Roman"/>
          <w:b/>
          <w:lang w:eastAsia="cs-CZ"/>
        </w:rPr>
        <w:t xml:space="preserve">Odpověď: </w:t>
      </w:r>
    </w:p>
    <w:p w:rsidR="00CD7937" w:rsidRPr="00CD7937" w:rsidRDefault="00CD7937" w:rsidP="000E41D9">
      <w:pPr>
        <w:spacing w:after="0" w:line="240" w:lineRule="auto"/>
        <w:rPr>
          <w:rFonts w:eastAsia="Times New Roman" w:cs="Times New Roman"/>
          <w:bCs/>
          <w:lang w:eastAsia="cs-CZ"/>
        </w:rPr>
      </w:pPr>
      <w:r w:rsidRPr="00CD7937">
        <w:rPr>
          <w:rFonts w:eastAsia="Times New Roman" w:cs="Times New Roman"/>
          <w:bCs/>
          <w:lang w:eastAsia="cs-CZ"/>
        </w:rPr>
        <w:t>Režim užívání a organizace provozu na uváděné komunikaci (která je v části výhradní cyklostezkou) je podmínkou realizace stavby. Režim užívání a organizace provozu je popsán v </w:t>
      </w:r>
      <w:proofErr w:type="gramStart"/>
      <w:r w:rsidRPr="00CD7937">
        <w:rPr>
          <w:rFonts w:eastAsia="Times New Roman" w:cs="Times New Roman"/>
          <w:bCs/>
          <w:lang w:eastAsia="cs-CZ"/>
        </w:rPr>
        <w:t>příloze B.01</w:t>
      </w:r>
      <w:proofErr w:type="gramEnd"/>
      <w:r w:rsidRPr="00CD7937">
        <w:rPr>
          <w:rFonts w:eastAsia="Times New Roman" w:cs="Times New Roman"/>
          <w:bCs/>
          <w:lang w:eastAsia="cs-CZ"/>
        </w:rPr>
        <w:t xml:space="preserve"> Souhrnná technická zpráva (str. 151-153).</w:t>
      </w:r>
    </w:p>
    <w:p w:rsidR="00CD7937" w:rsidRPr="00CD7937" w:rsidRDefault="00CD7937" w:rsidP="000E41D9">
      <w:pPr>
        <w:spacing w:after="0" w:line="240" w:lineRule="auto"/>
        <w:rPr>
          <w:rFonts w:eastAsia="Times New Roman" w:cs="Times New Roman"/>
          <w:bCs/>
          <w:i/>
          <w:iCs/>
          <w:lang w:eastAsia="cs-CZ"/>
        </w:rPr>
      </w:pPr>
      <w:r w:rsidRPr="00CD7937">
        <w:rPr>
          <w:rFonts w:eastAsia="Times New Roman" w:cs="Times New Roman"/>
          <w:bCs/>
          <w:lang w:eastAsia="cs-CZ"/>
        </w:rPr>
        <w:t xml:space="preserve">Dále odkazujeme na čl. </w:t>
      </w:r>
      <w:proofErr w:type="gramStart"/>
      <w:r w:rsidRPr="00CD7937">
        <w:rPr>
          <w:rFonts w:eastAsia="Times New Roman" w:cs="Times New Roman"/>
          <w:bCs/>
          <w:lang w:eastAsia="cs-CZ"/>
        </w:rPr>
        <w:t>4.1.10</w:t>
      </w:r>
      <w:proofErr w:type="gramEnd"/>
      <w:r w:rsidRPr="00CD7937">
        <w:rPr>
          <w:rFonts w:eastAsia="Times New Roman" w:cs="Times New Roman"/>
          <w:bCs/>
          <w:lang w:eastAsia="cs-CZ"/>
        </w:rPr>
        <w:t xml:space="preserve"> Zvláštních technických podmínek, který uvádí:</w:t>
      </w:r>
      <w:r w:rsidRPr="00CD7937">
        <w:rPr>
          <w:rFonts w:eastAsia="Times New Roman" w:cs="Times New Roman"/>
          <w:bCs/>
          <w:lang w:eastAsia="cs-CZ"/>
        </w:rPr>
        <w:br/>
      </w:r>
      <w:r w:rsidRPr="00CD7937">
        <w:rPr>
          <w:rFonts w:eastAsia="Times New Roman" w:cs="Times New Roman"/>
          <w:bCs/>
          <w:i/>
          <w:iCs/>
          <w:lang w:eastAsia="cs-CZ"/>
        </w:rPr>
        <w:t xml:space="preserve">Pro přístupy na staveniště jsou v Projektové dokumentaci navrženy provizorní komunikace, úpravy stávajících komunikací (zřízení dočasných výhyben) i provizorní staveništní most přes Tichou Orlici. Zhotovitel navržené přístupy zhodnotí z hlediska jejich dostatečnosti a četnosti pro zhotovení Díla a z hlediska jím zamýšleného postupu prací a předpokládané mechanizace. Pokud bude Zhotovitel potřebovat pro realizaci další přístupy, náklady na jejich přípravu, projednání, zřízení, pronájmy a odstranění jsou součástí ceny Díla. </w:t>
      </w:r>
    </w:p>
    <w:p w:rsidR="00CD7937" w:rsidRPr="00CD7937" w:rsidRDefault="00CD7937" w:rsidP="000E41D9">
      <w:pPr>
        <w:spacing w:after="0" w:line="240" w:lineRule="auto"/>
        <w:rPr>
          <w:rFonts w:eastAsia="Times New Roman" w:cs="Times New Roman"/>
          <w:bCs/>
          <w:iCs/>
          <w:lang w:eastAsia="cs-CZ"/>
        </w:rPr>
      </w:pPr>
      <w:r w:rsidRPr="00CD7937">
        <w:rPr>
          <w:rFonts w:eastAsia="Times New Roman" w:cs="Times New Roman"/>
          <w:bCs/>
          <w:iCs/>
          <w:lang w:eastAsia="cs-CZ"/>
        </w:rPr>
        <w:t xml:space="preserve">Zadavatel je si vědom ztížených podmínek výstavby a předpokládá, že si zhotovitel zvýšené náklady rozpustí v ceně položky dle článku 2.1.3 Komentáře k soupisu prací. </w:t>
      </w:r>
    </w:p>
    <w:p w:rsidR="00CD7937" w:rsidRPr="000E41D9" w:rsidRDefault="00CD7937" w:rsidP="000E41D9">
      <w:pPr>
        <w:spacing w:after="0" w:line="240" w:lineRule="auto"/>
        <w:rPr>
          <w:rFonts w:eastAsia="Times New Roman" w:cs="Times New Roman"/>
          <w:lang w:eastAsia="cs-CZ"/>
        </w:rPr>
      </w:pPr>
    </w:p>
    <w:p w:rsidR="00CD7937" w:rsidRPr="000E41D9" w:rsidRDefault="00CD7937" w:rsidP="000E41D9">
      <w:pPr>
        <w:spacing w:after="0" w:line="240" w:lineRule="auto"/>
        <w:rPr>
          <w:rFonts w:eastAsia="Times New Roman" w:cs="Times New Roman"/>
          <w:lang w:eastAsia="cs-CZ"/>
        </w:rPr>
      </w:pPr>
    </w:p>
    <w:p w:rsidR="00CD7937" w:rsidRPr="000E41D9" w:rsidRDefault="00CD7937" w:rsidP="000E41D9">
      <w:pPr>
        <w:spacing w:after="0" w:line="240" w:lineRule="auto"/>
        <w:rPr>
          <w:rFonts w:eastAsia="Times New Roman" w:cs="Times New Roman"/>
          <w:lang w:eastAsia="cs-CZ"/>
        </w:rPr>
      </w:pPr>
      <w:r w:rsidRPr="000E41D9">
        <w:rPr>
          <w:rFonts w:eastAsia="Times New Roman" w:cs="Times New Roman"/>
          <w:lang w:eastAsia="cs-CZ"/>
        </w:rPr>
        <w:t xml:space="preserve">Vzhledem ke skutečnosti, že byly zadavatelem provedeny </w:t>
      </w:r>
      <w:r w:rsidRPr="000E41D9">
        <w:rPr>
          <w:rFonts w:eastAsia="Times New Roman" w:cs="Times New Roman"/>
          <w:b/>
          <w:lang w:eastAsia="cs-CZ"/>
        </w:rPr>
        <w:t>změny/doplnění zadávací dokumentace</w:t>
      </w:r>
      <w:r w:rsidRPr="000E41D9">
        <w:rPr>
          <w:rFonts w:eastAsia="Times New Roman" w:cs="Times New Roman"/>
          <w:lang w:eastAsia="cs-CZ"/>
        </w:rPr>
        <w:t xml:space="preserve">, postupuje zadavatel v souladu s </w:t>
      </w:r>
      <w:proofErr w:type="spellStart"/>
      <w:r w:rsidRPr="000E41D9">
        <w:rPr>
          <w:rFonts w:eastAsia="Times New Roman" w:cs="Times New Roman"/>
          <w:lang w:eastAsia="cs-CZ"/>
        </w:rPr>
        <w:t>ust</w:t>
      </w:r>
      <w:proofErr w:type="spellEnd"/>
      <w:r w:rsidRPr="000E41D9">
        <w:rPr>
          <w:rFonts w:eastAsia="Times New Roman" w:cs="Times New Roman"/>
          <w:lang w:eastAsia="cs-CZ"/>
        </w:rPr>
        <w:t xml:space="preserve">. § 99 odst. 2 ZZVZ a prodlužuje lhůtu pro podání nabídek ze dne </w:t>
      </w:r>
      <w:r w:rsidRPr="000E41D9">
        <w:rPr>
          <w:rFonts w:eastAsia="Times New Roman" w:cs="Times New Roman"/>
          <w:b/>
          <w:lang w:eastAsia="cs-CZ"/>
        </w:rPr>
        <w:t>7. 9. 2020</w:t>
      </w:r>
      <w:r w:rsidRPr="000E41D9">
        <w:rPr>
          <w:rFonts w:eastAsia="Times New Roman" w:cs="Times New Roman"/>
          <w:lang w:eastAsia="cs-CZ"/>
        </w:rPr>
        <w:t xml:space="preserve"> na den </w:t>
      </w:r>
      <w:r w:rsidRPr="000E41D9">
        <w:rPr>
          <w:rFonts w:eastAsia="Times New Roman" w:cs="Times New Roman"/>
          <w:b/>
          <w:lang w:eastAsia="cs-CZ"/>
        </w:rPr>
        <w:t>8. 9. 2020</w:t>
      </w:r>
      <w:r w:rsidRPr="000E41D9">
        <w:rPr>
          <w:rFonts w:eastAsia="Times New Roman" w:cs="Times New Roman"/>
          <w:lang w:eastAsia="cs-CZ"/>
        </w:rPr>
        <w:t>.</w:t>
      </w:r>
    </w:p>
    <w:p w:rsidR="00CD7937" w:rsidRPr="000E41D9" w:rsidRDefault="00CD7937" w:rsidP="000E41D9">
      <w:pPr>
        <w:spacing w:after="0" w:line="240" w:lineRule="auto"/>
        <w:rPr>
          <w:rFonts w:eastAsia="Times New Roman" w:cs="Times New Roman"/>
          <w:b/>
          <w:lang w:eastAsia="cs-CZ"/>
        </w:rPr>
      </w:pPr>
    </w:p>
    <w:p w:rsidR="00CD7937" w:rsidRPr="000E41D9" w:rsidRDefault="00CD7937" w:rsidP="000E41D9">
      <w:pPr>
        <w:spacing w:after="0" w:line="240" w:lineRule="auto"/>
        <w:jc w:val="both"/>
        <w:rPr>
          <w:rFonts w:eastAsia="Times New Roman" w:cs="Times New Roman"/>
          <w:lang w:eastAsia="cs-CZ"/>
        </w:rPr>
      </w:pPr>
      <w:r w:rsidRPr="000E41D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000E41D9" w:rsidRPr="000E41D9">
          <w:rPr>
            <w:rStyle w:val="Hypertextovodkaz"/>
          </w:rPr>
          <w:t>www.vestnikverejnychzakazek.cz</w:t>
        </w:r>
      </w:hyperlink>
      <w:r w:rsidRPr="000E41D9">
        <w:rPr>
          <w:rFonts w:eastAsia="Times New Roman" w:cs="Times New Roman"/>
          <w:lang w:eastAsia="cs-CZ"/>
        </w:rPr>
        <w:t xml:space="preserve"> (evidenční č. VZ Z2020-024049). Změny se týkají těchto ustanovení:</w:t>
      </w:r>
    </w:p>
    <w:p w:rsidR="00CD7937" w:rsidRPr="000E41D9" w:rsidRDefault="00CD7937" w:rsidP="000E41D9">
      <w:pPr>
        <w:spacing w:after="0" w:line="240" w:lineRule="auto"/>
        <w:rPr>
          <w:rFonts w:eastAsia="Times New Roman" w:cs="Times New Roman"/>
          <w:b/>
          <w:lang w:eastAsia="cs-CZ"/>
        </w:rPr>
      </w:pPr>
    </w:p>
    <w:p w:rsidR="00CD7937" w:rsidRPr="000E41D9" w:rsidRDefault="00CD7937" w:rsidP="000E41D9">
      <w:pPr>
        <w:spacing w:after="0" w:line="240" w:lineRule="auto"/>
        <w:rPr>
          <w:rFonts w:eastAsia="Times New Roman" w:cs="Times New Roman"/>
          <w:b/>
          <w:lang w:eastAsia="cs-CZ"/>
        </w:rPr>
      </w:pPr>
    </w:p>
    <w:p w:rsidR="00CD7937" w:rsidRPr="000E41D9" w:rsidRDefault="00CD7937" w:rsidP="000E41D9">
      <w:pPr>
        <w:spacing w:after="0" w:line="240" w:lineRule="auto"/>
        <w:rPr>
          <w:rFonts w:eastAsia="Times New Roman" w:cs="Times New Roman"/>
          <w:b/>
          <w:lang w:eastAsia="cs-CZ"/>
        </w:rPr>
      </w:pPr>
      <w:r w:rsidRPr="000E41D9">
        <w:rPr>
          <w:rFonts w:eastAsia="Times New Roman" w:cs="Times New Roman"/>
          <w:b/>
          <w:lang w:eastAsia="cs-CZ"/>
        </w:rPr>
        <w:t xml:space="preserve">Oddíl IV. 2.2): </w:t>
      </w:r>
    </w:p>
    <w:p w:rsidR="00CD7937" w:rsidRPr="000E41D9" w:rsidRDefault="00CD7937" w:rsidP="000E41D9">
      <w:pPr>
        <w:spacing w:after="0" w:line="240" w:lineRule="auto"/>
        <w:rPr>
          <w:rFonts w:eastAsia="Times New Roman" w:cs="Times New Roman"/>
          <w:b/>
          <w:lang w:eastAsia="cs-CZ"/>
        </w:rPr>
      </w:pPr>
      <w:r w:rsidRPr="000E41D9">
        <w:rPr>
          <w:rFonts w:eastAsia="Times New Roman" w:cs="Times New Roman"/>
          <w:lang w:eastAsia="cs-CZ"/>
        </w:rPr>
        <w:t xml:space="preserve">rušíme datum 13. 8. 2020 v 10:00 hod. a nahrazujeme datem </w:t>
      </w:r>
      <w:r w:rsidRPr="000E41D9">
        <w:rPr>
          <w:rFonts w:eastAsia="Times New Roman" w:cs="Times New Roman"/>
          <w:b/>
          <w:lang w:eastAsia="cs-CZ"/>
        </w:rPr>
        <w:t>8. 9. 2020</w:t>
      </w:r>
      <w:r w:rsidRPr="000E41D9">
        <w:rPr>
          <w:rFonts w:eastAsia="Times New Roman" w:cs="Times New Roman"/>
          <w:lang w:eastAsia="cs-CZ"/>
        </w:rPr>
        <w:t xml:space="preserve"> v 10:00 hod.,</w:t>
      </w:r>
      <w:r w:rsidRPr="000E41D9">
        <w:rPr>
          <w:rFonts w:eastAsia="Times New Roman" w:cs="Times New Roman"/>
          <w:b/>
          <w:lang w:eastAsia="cs-CZ"/>
        </w:rPr>
        <w:t xml:space="preserve"> </w:t>
      </w:r>
    </w:p>
    <w:p w:rsidR="00CD7937" w:rsidRPr="000E41D9" w:rsidRDefault="00CD7937" w:rsidP="000E41D9">
      <w:pPr>
        <w:spacing w:after="0" w:line="240" w:lineRule="auto"/>
        <w:rPr>
          <w:rFonts w:eastAsia="Times New Roman" w:cs="Times New Roman"/>
          <w:b/>
          <w:lang w:eastAsia="cs-CZ"/>
        </w:rPr>
      </w:pPr>
      <w:r w:rsidRPr="000E41D9">
        <w:rPr>
          <w:rFonts w:eastAsia="Times New Roman" w:cs="Times New Roman"/>
          <w:b/>
          <w:lang w:eastAsia="cs-CZ"/>
        </w:rPr>
        <w:t xml:space="preserve">Oddíl IV. 2.7): </w:t>
      </w:r>
    </w:p>
    <w:p w:rsidR="00CD7937" w:rsidRPr="000E41D9" w:rsidRDefault="00CD7937" w:rsidP="000E41D9">
      <w:pPr>
        <w:spacing w:after="0" w:line="240" w:lineRule="auto"/>
        <w:rPr>
          <w:rFonts w:eastAsia="Times New Roman" w:cs="Times New Roman"/>
          <w:b/>
          <w:lang w:eastAsia="cs-CZ"/>
        </w:rPr>
      </w:pPr>
      <w:r w:rsidRPr="000E41D9">
        <w:rPr>
          <w:rFonts w:eastAsia="Times New Roman" w:cs="Times New Roman"/>
          <w:lang w:eastAsia="cs-CZ"/>
        </w:rPr>
        <w:t xml:space="preserve">rušíme datum 13. 8. 2020 v 10:00 hod. a nahrazujeme datem </w:t>
      </w:r>
      <w:r w:rsidRPr="000E41D9">
        <w:rPr>
          <w:rFonts w:eastAsia="Times New Roman" w:cs="Times New Roman"/>
          <w:b/>
          <w:lang w:eastAsia="cs-CZ"/>
        </w:rPr>
        <w:t>8. 9. 2020</w:t>
      </w:r>
      <w:r w:rsidRPr="000E41D9">
        <w:rPr>
          <w:rFonts w:eastAsia="Times New Roman" w:cs="Times New Roman"/>
          <w:lang w:eastAsia="cs-CZ"/>
        </w:rPr>
        <w:t xml:space="preserve"> v 10:00 hod.</w:t>
      </w:r>
    </w:p>
    <w:p w:rsidR="00CD7937" w:rsidRPr="000E41D9" w:rsidRDefault="00CD7937" w:rsidP="000E41D9">
      <w:pPr>
        <w:spacing w:after="0" w:line="240" w:lineRule="auto"/>
        <w:rPr>
          <w:rFonts w:eastAsia="Times New Roman" w:cs="Times New Roman"/>
          <w:lang w:eastAsia="cs-CZ"/>
        </w:rPr>
      </w:pPr>
    </w:p>
    <w:p w:rsidR="00CD7937" w:rsidRPr="000E41D9" w:rsidRDefault="00CD7937" w:rsidP="000E41D9">
      <w:pPr>
        <w:tabs>
          <w:tab w:val="left" w:pos="993"/>
          <w:tab w:val="center" w:pos="7371"/>
        </w:tabs>
        <w:spacing w:after="0" w:line="240" w:lineRule="auto"/>
        <w:jc w:val="both"/>
        <w:rPr>
          <w:rFonts w:eastAsia="Calibri" w:cs="Times New Roman"/>
          <w:lang w:eastAsia="cs-CZ"/>
        </w:rPr>
      </w:pPr>
      <w:r w:rsidRPr="000E41D9">
        <w:rPr>
          <w:rFonts w:eastAsia="Calibri" w:cs="Times New Roman"/>
          <w:lang w:eastAsia="cs-CZ"/>
        </w:rPr>
        <w:t xml:space="preserve">Vysvětlení/ změnu/ doplnění zadávací dokumentace včetně příloh zadavatel uveřejňuje na profilu zadavatele na webovém portálu </w:t>
      </w:r>
      <w:hyperlink r:id="rId13" w:history="1">
        <w:r w:rsidR="000E41D9" w:rsidRPr="000E41D9">
          <w:rPr>
            <w:rFonts w:ascii="Verdana" w:eastAsia="Calibri" w:hAnsi="Verdana" w:cs="Times New Roman"/>
            <w:color w:val="0563C1"/>
            <w:u w:val="single"/>
            <w:lang w:eastAsia="cs-CZ"/>
          </w:rPr>
          <w:t>https://zakazky.spravazeleznic.cz/</w:t>
        </w:r>
      </w:hyperlink>
      <w:r w:rsidRPr="000E41D9">
        <w:rPr>
          <w:rFonts w:eastAsia="Calibri" w:cs="Times New Roman"/>
          <w:u w:val="single"/>
          <w:lang w:eastAsia="cs-CZ"/>
        </w:rPr>
        <w:t>.</w:t>
      </w:r>
    </w:p>
    <w:p w:rsidR="0031433E" w:rsidRPr="00CD7937" w:rsidRDefault="0031433E" w:rsidP="000E41D9">
      <w:pPr>
        <w:spacing w:line="240" w:lineRule="auto"/>
        <w:rPr>
          <w:rFonts w:cstheme="minorHAnsi"/>
          <w:b/>
          <w:bCs/>
          <w:sz w:val="24"/>
          <w:szCs w:val="24"/>
        </w:rPr>
      </w:pPr>
    </w:p>
    <w:p w:rsidR="00CD7937" w:rsidRPr="00CD7937" w:rsidRDefault="00CD7937" w:rsidP="000E41D9">
      <w:pPr>
        <w:spacing w:after="0" w:line="240" w:lineRule="auto"/>
        <w:rPr>
          <w:rFonts w:eastAsia="Calibri" w:cs="Times New Roman"/>
          <w:b/>
          <w:bCs/>
          <w:lang w:eastAsia="cs-CZ"/>
        </w:rPr>
      </w:pPr>
      <w:r w:rsidRPr="00CD7937">
        <w:rPr>
          <w:rFonts w:eastAsia="Calibri" w:cs="Times New Roman"/>
          <w:b/>
          <w:bCs/>
          <w:lang w:eastAsia="cs-CZ"/>
        </w:rPr>
        <w:t>Přílohy:</w:t>
      </w:r>
    </w:p>
    <w:p w:rsidR="00CD7937" w:rsidRPr="00CD7937" w:rsidRDefault="00CD7937" w:rsidP="000E41D9">
      <w:pPr>
        <w:spacing w:after="0" w:line="240" w:lineRule="auto"/>
        <w:rPr>
          <w:rFonts w:eastAsia="Calibri" w:cs="Times New Roman"/>
          <w:bCs/>
          <w:lang w:eastAsia="cs-CZ"/>
        </w:rPr>
      </w:pPr>
      <w:r w:rsidRPr="00CD7937">
        <w:rPr>
          <w:rFonts w:eastAsia="Calibri" w:cs="Times New Roman"/>
          <w:bCs/>
          <w:lang w:eastAsia="cs-CZ"/>
        </w:rPr>
        <w:t>SO031001_1_upr02.xlsm</w:t>
      </w:r>
    </w:p>
    <w:p w:rsidR="00CD7937" w:rsidRPr="00CD7937" w:rsidRDefault="00CD7937" w:rsidP="000E41D9">
      <w:pPr>
        <w:spacing w:after="0" w:line="240" w:lineRule="auto"/>
        <w:rPr>
          <w:rFonts w:eastAsia="Calibri" w:cs="Times New Roman"/>
          <w:bCs/>
          <w:lang w:eastAsia="cs-CZ"/>
        </w:rPr>
      </w:pPr>
      <w:r w:rsidRPr="00CD7937">
        <w:rPr>
          <w:rFonts w:eastAsia="Calibri" w:cs="Times New Roman"/>
          <w:bCs/>
          <w:lang w:eastAsia="cs-CZ"/>
        </w:rPr>
        <w:t>SO052001_1_upr02.xlsm</w:t>
      </w:r>
    </w:p>
    <w:p w:rsidR="00CD7937" w:rsidRPr="00CD7937" w:rsidRDefault="00CD7937" w:rsidP="000E41D9">
      <w:pPr>
        <w:spacing w:after="0" w:line="240" w:lineRule="auto"/>
        <w:rPr>
          <w:rFonts w:eastAsia="Calibri" w:cs="Times New Roman"/>
          <w:bCs/>
          <w:lang w:eastAsia="cs-CZ"/>
        </w:rPr>
      </w:pPr>
      <w:r w:rsidRPr="00CD7937">
        <w:rPr>
          <w:rFonts w:eastAsia="Calibri" w:cs="Times New Roman"/>
          <w:bCs/>
          <w:lang w:eastAsia="cs-CZ"/>
        </w:rPr>
        <w:t>SO052001_upr03.xlsm</w:t>
      </w:r>
    </w:p>
    <w:p w:rsidR="00CD7937" w:rsidRPr="00CD7937" w:rsidRDefault="00CD7937" w:rsidP="000E41D9">
      <w:pPr>
        <w:spacing w:after="0" w:line="240" w:lineRule="auto"/>
        <w:rPr>
          <w:rFonts w:eastAsia="Calibri" w:cs="Times New Roman"/>
          <w:bCs/>
          <w:lang w:eastAsia="cs-CZ"/>
        </w:rPr>
      </w:pPr>
      <w:r w:rsidRPr="00CD7937">
        <w:rPr>
          <w:rFonts w:eastAsia="Calibri" w:cs="Times New Roman"/>
          <w:bCs/>
          <w:lang w:eastAsia="cs-CZ"/>
        </w:rPr>
        <w:t>SO054001_upr01.xlsm</w:t>
      </w:r>
    </w:p>
    <w:p w:rsidR="00CD7937" w:rsidRPr="00CD7937" w:rsidRDefault="00CD7937" w:rsidP="000E41D9">
      <w:pPr>
        <w:spacing w:after="0" w:line="240" w:lineRule="auto"/>
        <w:rPr>
          <w:rFonts w:eastAsia="Calibri" w:cs="Times New Roman"/>
          <w:bCs/>
          <w:lang w:eastAsia="cs-CZ"/>
        </w:rPr>
      </w:pPr>
      <w:r w:rsidRPr="00CD7937">
        <w:rPr>
          <w:rFonts w:eastAsia="Calibri" w:cs="Times New Roman"/>
          <w:bCs/>
          <w:lang w:eastAsia="cs-CZ"/>
        </w:rPr>
        <w:t>SO056201_upr02.xlsm</w:t>
      </w:r>
    </w:p>
    <w:p w:rsidR="00CD7937" w:rsidRPr="00CD7937" w:rsidRDefault="00CD7937" w:rsidP="000E41D9">
      <w:pPr>
        <w:spacing w:after="0" w:line="240" w:lineRule="auto"/>
        <w:rPr>
          <w:rFonts w:eastAsia="Calibri" w:cs="Times New Roman"/>
          <w:bCs/>
          <w:lang w:eastAsia="cs-CZ"/>
        </w:rPr>
      </w:pPr>
      <w:r w:rsidRPr="00CD7937">
        <w:rPr>
          <w:rFonts w:eastAsia="Calibri" w:cs="Times New Roman"/>
          <w:bCs/>
          <w:lang w:eastAsia="cs-CZ"/>
        </w:rPr>
        <w:t>SO056202_upr02.xlsm</w:t>
      </w:r>
    </w:p>
    <w:p w:rsidR="0031433E" w:rsidRPr="00CD7937" w:rsidRDefault="0031433E" w:rsidP="00A44042">
      <w:pPr>
        <w:spacing w:after="0" w:line="240" w:lineRule="auto"/>
        <w:rPr>
          <w:rFonts w:eastAsia="Calibri" w:cs="Times New Roman"/>
          <w:b/>
          <w:bCs/>
          <w:lang w:eastAsia="cs-CZ"/>
        </w:rPr>
      </w:pPr>
    </w:p>
    <w:p w:rsidR="00CD7937" w:rsidRPr="00CD7937" w:rsidRDefault="00CD7937" w:rsidP="00A44042">
      <w:pPr>
        <w:spacing w:after="0" w:line="240" w:lineRule="auto"/>
        <w:rPr>
          <w:rFonts w:eastAsia="Calibri" w:cs="Times New Roman"/>
          <w:b/>
          <w:bCs/>
          <w:lang w:eastAsia="cs-CZ"/>
        </w:rPr>
      </w:pPr>
    </w:p>
    <w:p w:rsidR="00CD7937" w:rsidRPr="00CD7937" w:rsidRDefault="00CD7937" w:rsidP="00A44042">
      <w:pPr>
        <w:spacing w:after="0" w:line="240" w:lineRule="auto"/>
        <w:rPr>
          <w:rFonts w:eastAsia="Calibri" w:cs="Times New Roman"/>
          <w:b/>
          <w:bCs/>
          <w:lang w:eastAsia="cs-CZ"/>
        </w:rPr>
      </w:pPr>
    </w:p>
    <w:p w:rsidR="00CD7937" w:rsidRPr="00CD7937" w:rsidRDefault="00CD7937" w:rsidP="00A44042">
      <w:pPr>
        <w:spacing w:after="0" w:line="240" w:lineRule="auto"/>
        <w:rPr>
          <w:rFonts w:eastAsia="Calibri" w:cs="Times New Roman"/>
          <w:b/>
          <w:bCs/>
          <w:lang w:eastAsia="cs-CZ"/>
        </w:rPr>
      </w:pPr>
    </w:p>
    <w:p w:rsidR="00CD7937" w:rsidRPr="00CD7937" w:rsidRDefault="00CD7937" w:rsidP="00CD7937">
      <w:pPr>
        <w:spacing w:after="0" w:line="240" w:lineRule="auto"/>
        <w:jc w:val="both"/>
        <w:rPr>
          <w:rFonts w:eastAsia="Calibri" w:cs="Times New Roman"/>
          <w:lang w:eastAsia="cs-CZ"/>
        </w:rPr>
      </w:pPr>
      <w:r w:rsidRPr="00CD7937">
        <w:rPr>
          <w:rFonts w:eastAsia="Calibri" w:cs="Times New Roman"/>
          <w:lang w:eastAsia="cs-CZ"/>
        </w:rPr>
        <w:t>V Praze dne 26. 8. 2020</w:t>
      </w:r>
    </w:p>
    <w:p w:rsidR="00CD7937" w:rsidRPr="00CD7937" w:rsidRDefault="00CD7937" w:rsidP="00CD7937">
      <w:pPr>
        <w:spacing w:after="0" w:line="240" w:lineRule="auto"/>
        <w:jc w:val="both"/>
        <w:rPr>
          <w:rFonts w:eastAsia="Calibri" w:cs="Times New Roman"/>
          <w:lang w:eastAsia="cs-CZ"/>
        </w:rPr>
      </w:pPr>
    </w:p>
    <w:p w:rsidR="00CD7937" w:rsidRPr="00CD7937" w:rsidRDefault="00CD7937" w:rsidP="00CD7937">
      <w:pPr>
        <w:spacing w:after="0" w:line="240" w:lineRule="auto"/>
        <w:jc w:val="both"/>
        <w:rPr>
          <w:rFonts w:eastAsia="Calibri" w:cs="Times New Roman"/>
          <w:lang w:eastAsia="cs-CZ"/>
        </w:rPr>
      </w:pPr>
    </w:p>
    <w:p w:rsidR="00CD7937" w:rsidRDefault="00CD7937" w:rsidP="00CD7937">
      <w:pPr>
        <w:spacing w:after="0" w:line="240" w:lineRule="auto"/>
        <w:jc w:val="both"/>
        <w:rPr>
          <w:rFonts w:eastAsia="Calibri" w:cs="Times New Roman"/>
          <w:lang w:eastAsia="cs-CZ"/>
        </w:rPr>
      </w:pPr>
    </w:p>
    <w:p w:rsidR="00CD7937" w:rsidRDefault="00CD7937" w:rsidP="00CD7937">
      <w:pPr>
        <w:spacing w:after="0" w:line="240" w:lineRule="auto"/>
        <w:jc w:val="both"/>
        <w:rPr>
          <w:rFonts w:eastAsia="Calibri" w:cs="Times New Roman"/>
          <w:lang w:eastAsia="cs-CZ"/>
        </w:rPr>
      </w:pPr>
    </w:p>
    <w:p w:rsidR="000E41D9" w:rsidRDefault="000E41D9" w:rsidP="00CD7937">
      <w:pPr>
        <w:spacing w:after="0" w:line="240" w:lineRule="auto"/>
        <w:jc w:val="both"/>
        <w:rPr>
          <w:rFonts w:eastAsia="Calibri" w:cs="Times New Roman"/>
          <w:lang w:eastAsia="cs-CZ"/>
        </w:rPr>
      </w:pPr>
    </w:p>
    <w:p w:rsidR="00CD7937" w:rsidRDefault="00CD7937" w:rsidP="00CD7937">
      <w:pPr>
        <w:spacing w:after="0" w:line="240" w:lineRule="auto"/>
        <w:rPr>
          <w:rFonts w:eastAsia="Calibri" w:cs="Times New Roman"/>
          <w:b/>
          <w:bCs/>
          <w:lang w:eastAsia="cs-CZ"/>
        </w:rPr>
      </w:pPr>
    </w:p>
    <w:p w:rsidR="00CD7937" w:rsidRDefault="00CD7937" w:rsidP="00CD7937">
      <w:pPr>
        <w:spacing w:after="0" w:line="240" w:lineRule="auto"/>
        <w:rPr>
          <w:rFonts w:eastAsia="Calibri" w:cs="Times New Roman"/>
          <w:b/>
          <w:bCs/>
          <w:lang w:eastAsia="cs-CZ"/>
        </w:rPr>
      </w:pPr>
      <w:r>
        <w:rPr>
          <w:rFonts w:eastAsia="Calibri" w:cs="Times New Roman"/>
          <w:b/>
          <w:bCs/>
          <w:lang w:eastAsia="cs-CZ"/>
        </w:rPr>
        <w:t>Ing. Libor Kuta</w:t>
      </w:r>
    </w:p>
    <w:p w:rsidR="00CD7937" w:rsidRDefault="00CD7937" w:rsidP="00CD7937">
      <w:pPr>
        <w:spacing w:after="0" w:line="240" w:lineRule="auto"/>
        <w:rPr>
          <w:rFonts w:eastAsia="Calibri" w:cs="Calibri"/>
          <w:lang w:eastAsia="cs-CZ"/>
        </w:rPr>
      </w:pPr>
      <w:r>
        <w:rPr>
          <w:rFonts w:eastAsia="Calibri" w:cs="Calibri"/>
          <w:lang w:eastAsia="cs-CZ"/>
        </w:rPr>
        <w:t>vedoucí oddělení zadávání investic</w:t>
      </w:r>
    </w:p>
    <w:p w:rsidR="00CD7937" w:rsidRDefault="00CD7937" w:rsidP="00CD7937">
      <w:pPr>
        <w:spacing w:after="0" w:line="240" w:lineRule="auto"/>
        <w:rPr>
          <w:rFonts w:eastAsia="Calibri" w:cs="Calibri"/>
          <w:lang w:eastAsia="cs-CZ"/>
        </w:rPr>
      </w:pPr>
      <w:r>
        <w:rPr>
          <w:rFonts w:eastAsia="Calibri" w:cs="Calibri"/>
          <w:lang w:eastAsia="cs-CZ"/>
        </w:rPr>
        <w:t>odboru investičního</w:t>
      </w:r>
    </w:p>
    <w:p w:rsidR="00CD7937" w:rsidRDefault="00CD7937" w:rsidP="00CD7937">
      <w:pPr>
        <w:spacing w:after="0" w:line="240" w:lineRule="auto"/>
        <w:rPr>
          <w:rFonts w:eastAsia="Calibri" w:cs="Calibri"/>
          <w:lang w:eastAsia="cs-CZ"/>
        </w:rPr>
      </w:pPr>
      <w:r>
        <w:rPr>
          <w:rFonts w:eastAsia="Calibri" w:cs="Calibri"/>
          <w:lang w:eastAsia="cs-CZ"/>
        </w:rPr>
        <w:t>na základě „Pověření“ č. 1937</w:t>
      </w:r>
    </w:p>
    <w:p w:rsidR="00CD7937" w:rsidRDefault="00CD7937" w:rsidP="00CD7937">
      <w:pPr>
        <w:spacing w:after="0" w:line="240" w:lineRule="auto"/>
        <w:rPr>
          <w:rFonts w:eastAsia="Calibri" w:cs="Calibri"/>
          <w:lang w:eastAsia="cs-CZ"/>
        </w:rPr>
      </w:pPr>
      <w:r>
        <w:rPr>
          <w:rFonts w:eastAsia="Calibri" w:cs="Calibri"/>
          <w:lang w:eastAsia="cs-CZ"/>
        </w:rPr>
        <w:t xml:space="preserve">ze dne </w:t>
      </w:r>
      <w:proofErr w:type="gramStart"/>
      <w:r>
        <w:rPr>
          <w:rFonts w:eastAsia="Calibri" w:cs="Calibri"/>
          <w:lang w:eastAsia="cs-CZ"/>
        </w:rPr>
        <w:t>02.07.2015</w:t>
      </w:r>
      <w:proofErr w:type="gramEnd"/>
    </w:p>
    <w:p w:rsidR="00CD7937" w:rsidRDefault="00CD7937" w:rsidP="00CD7937">
      <w:pPr>
        <w:spacing w:after="0" w:line="240" w:lineRule="auto"/>
        <w:rPr>
          <w:rFonts w:eastAsia="Calibri" w:cs="Calibri"/>
          <w:lang w:eastAsia="cs-CZ"/>
        </w:rPr>
      </w:pPr>
      <w:r>
        <w:rPr>
          <w:rFonts w:eastAsia="Calibri" w:cs="Calibri"/>
          <w:lang w:eastAsia="cs-CZ"/>
        </w:rPr>
        <w:t>Správa železnic, státní organizace</w:t>
      </w:r>
    </w:p>
    <w:p w:rsidR="00CD7937" w:rsidRPr="00CB7B5A" w:rsidRDefault="00CD7937" w:rsidP="00A44042">
      <w:pPr>
        <w:spacing w:after="0" w:line="240" w:lineRule="auto"/>
        <w:rPr>
          <w:rFonts w:eastAsia="Calibri" w:cs="Times New Roman"/>
          <w:b/>
          <w:bCs/>
          <w:lang w:eastAsia="cs-CZ"/>
        </w:rPr>
      </w:pPr>
    </w:p>
    <w:sectPr w:rsidR="00CD7937" w:rsidRPr="00CB7B5A" w:rsidSect="0000049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D77" w:rsidRDefault="008E0D77" w:rsidP="00962258">
      <w:pPr>
        <w:spacing w:after="0" w:line="240" w:lineRule="auto"/>
      </w:pPr>
      <w:r>
        <w:separator/>
      </w:r>
    </w:p>
  </w:endnote>
  <w:endnote w:type="continuationSeparator" w:id="0">
    <w:p w:rsidR="008E0D77" w:rsidRDefault="008E0D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D831A3">
      <w:tc>
        <w:tcPr>
          <w:tcW w:w="1361" w:type="dxa"/>
          <w:tcMar>
            <w:left w:w="0" w:type="dxa"/>
            <w:right w:w="0" w:type="dxa"/>
          </w:tcMar>
          <w:vAlign w:val="bottom"/>
        </w:tcPr>
        <w:p w:rsidR="00FF07F2" w:rsidRPr="00B8518B" w:rsidRDefault="00FF07F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5E3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5E36">
            <w:rPr>
              <w:rStyle w:val="slostrnky"/>
              <w:noProof/>
            </w:rPr>
            <w:t>5</w:t>
          </w:r>
          <w:r w:rsidRPr="00B8518B">
            <w:rPr>
              <w:rStyle w:val="slostrnky"/>
            </w:rPr>
            <w:fldChar w:fldCharType="end"/>
          </w:r>
        </w:p>
      </w:tc>
      <w:tc>
        <w:tcPr>
          <w:tcW w:w="3458" w:type="dxa"/>
          <w:shd w:val="clear" w:color="auto" w:fill="auto"/>
          <w:tcMar>
            <w:left w:w="0" w:type="dxa"/>
            <w:right w:w="0" w:type="dxa"/>
          </w:tcMar>
        </w:tcPr>
        <w:p w:rsidR="00FF07F2" w:rsidRDefault="00FF07F2" w:rsidP="00B8518B">
          <w:pPr>
            <w:pStyle w:val="Zpat"/>
          </w:pPr>
        </w:p>
      </w:tc>
      <w:tc>
        <w:tcPr>
          <w:tcW w:w="2835" w:type="dxa"/>
          <w:shd w:val="clear" w:color="auto" w:fill="auto"/>
          <w:tcMar>
            <w:left w:w="0" w:type="dxa"/>
            <w:right w:w="0" w:type="dxa"/>
          </w:tcMar>
        </w:tcPr>
        <w:p w:rsidR="00FF07F2" w:rsidRDefault="00FF07F2" w:rsidP="00B8518B">
          <w:pPr>
            <w:pStyle w:val="Zpat"/>
          </w:pPr>
        </w:p>
      </w:tc>
      <w:tc>
        <w:tcPr>
          <w:tcW w:w="2921" w:type="dxa"/>
        </w:tcPr>
        <w:p w:rsidR="00FF07F2" w:rsidRDefault="00FF07F2" w:rsidP="00D831A3">
          <w:pPr>
            <w:pStyle w:val="Zpat"/>
          </w:pPr>
        </w:p>
      </w:tc>
    </w:tr>
  </w:tbl>
  <w:p w:rsidR="00FF07F2" w:rsidRPr="00B8518B" w:rsidRDefault="00FF07F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94A63F3" wp14:editId="35E9480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EF93A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17C2967" wp14:editId="234D227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19D86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F1715C">
      <w:tc>
        <w:tcPr>
          <w:tcW w:w="1361" w:type="dxa"/>
          <w:tcMar>
            <w:left w:w="0" w:type="dxa"/>
            <w:right w:w="0" w:type="dxa"/>
          </w:tcMar>
          <w:vAlign w:val="bottom"/>
        </w:tcPr>
        <w:p w:rsidR="00FF07F2" w:rsidRPr="00B8518B" w:rsidRDefault="00FF07F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5E3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5E36">
            <w:rPr>
              <w:rStyle w:val="slostrnky"/>
              <w:noProof/>
            </w:rPr>
            <w:t>5</w:t>
          </w:r>
          <w:r w:rsidRPr="00B8518B">
            <w:rPr>
              <w:rStyle w:val="slostrnky"/>
            </w:rPr>
            <w:fldChar w:fldCharType="end"/>
          </w:r>
        </w:p>
      </w:tc>
      <w:tc>
        <w:tcPr>
          <w:tcW w:w="3458" w:type="dxa"/>
          <w:shd w:val="clear" w:color="auto" w:fill="auto"/>
          <w:tcMar>
            <w:left w:w="0" w:type="dxa"/>
            <w:right w:w="0" w:type="dxa"/>
          </w:tcMar>
        </w:tcPr>
        <w:p w:rsidR="00FF07F2" w:rsidRDefault="00FF07F2" w:rsidP="00FF07F2">
          <w:pPr>
            <w:pStyle w:val="Zpat"/>
          </w:pPr>
          <w:r>
            <w:t>Správa železnic, státní organizace</w:t>
          </w:r>
        </w:p>
        <w:p w:rsidR="00FF07F2" w:rsidRDefault="00FF07F2" w:rsidP="00FF07F2">
          <w:pPr>
            <w:pStyle w:val="Zpat"/>
          </w:pPr>
          <w:r>
            <w:t>zapsána v obchodním rejstříku vedeném Městským soudem v Praze, spisová značka A 48384</w:t>
          </w:r>
        </w:p>
      </w:tc>
      <w:tc>
        <w:tcPr>
          <w:tcW w:w="2835" w:type="dxa"/>
          <w:shd w:val="clear" w:color="auto" w:fill="auto"/>
          <w:tcMar>
            <w:left w:w="0" w:type="dxa"/>
            <w:right w:w="0" w:type="dxa"/>
          </w:tcMar>
        </w:tcPr>
        <w:p w:rsidR="00FF07F2" w:rsidRDefault="00FF07F2" w:rsidP="00FF07F2">
          <w:pPr>
            <w:pStyle w:val="Zpat"/>
          </w:pPr>
          <w:r>
            <w:t>Sídlo: Dlážděná 1003/7, 110 00 Praha 1</w:t>
          </w:r>
        </w:p>
        <w:p w:rsidR="00FF07F2" w:rsidRDefault="00FF07F2" w:rsidP="00FF07F2">
          <w:pPr>
            <w:pStyle w:val="Zpat"/>
          </w:pPr>
          <w:r>
            <w:t>IČO: 709 94 234 DIČ: CZ 709 94 234</w:t>
          </w:r>
        </w:p>
        <w:p w:rsidR="00FF07F2" w:rsidRDefault="003F4DAD" w:rsidP="00FF07F2">
          <w:pPr>
            <w:pStyle w:val="Zpat"/>
          </w:pPr>
          <w:r>
            <w:t>www.spravazelezni</w:t>
          </w:r>
          <w:r w:rsidR="00FF07F2">
            <w:t>c.cz</w:t>
          </w:r>
        </w:p>
      </w:tc>
      <w:tc>
        <w:tcPr>
          <w:tcW w:w="2921" w:type="dxa"/>
        </w:tcPr>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FF07F2" w:rsidRDefault="00FF07F2" w:rsidP="00FF07F2">
          <w:pPr>
            <w:pStyle w:val="Zpat"/>
          </w:pPr>
        </w:p>
      </w:tc>
    </w:tr>
  </w:tbl>
  <w:p w:rsidR="00FF07F2" w:rsidRPr="00B8518B" w:rsidRDefault="00FF07F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9944D3" wp14:editId="2CF232C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CAB11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2932495" wp14:editId="41EF409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452FD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F07F2" w:rsidRPr="00460660" w:rsidRDefault="00FF07F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D77" w:rsidRDefault="008E0D77" w:rsidP="00962258">
      <w:pPr>
        <w:spacing w:after="0" w:line="240" w:lineRule="auto"/>
      </w:pPr>
      <w:r>
        <w:separator/>
      </w:r>
    </w:p>
  </w:footnote>
  <w:footnote w:type="continuationSeparator" w:id="0">
    <w:p w:rsidR="008E0D77" w:rsidRDefault="008E0D7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C02D0A">
      <w:trPr>
        <w:trHeight w:hRule="exact" w:val="454"/>
      </w:trPr>
      <w:tc>
        <w:tcPr>
          <w:tcW w:w="1361" w:type="dxa"/>
          <w:tcMar>
            <w:top w:w="57" w:type="dxa"/>
            <w:left w:w="0" w:type="dxa"/>
            <w:right w:w="0" w:type="dxa"/>
          </w:tcMar>
        </w:tcPr>
        <w:p w:rsidR="00FF07F2" w:rsidRPr="00B8518B" w:rsidRDefault="00FF07F2" w:rsidP="00523EA7">
          <w:pPr>
            <w:pStyle w:val="Zpat"/>
            <w:rPr>
              <w:rStyle w:val="slostrnky"/>
            </w:rPr>
          </w:pPr>
        </w:p>
      </w:tc>
      <w:tc>
        <w:tcPr>
          <w:tcW w:w="3458" w:type="dxa"/>
          <w:shd w:val="clear" w:color="auto" w:fill="auto"/>
          <w:tcMar>
            <w:top w:w="57" w:type="dxa"/>
            <w:left w:w="0" w:type="dxa"/>
            <w:right w:w="0" w:type="dxa"/>
          </w:tcMar>
        </w:tcPr>
        <w:p w:rsidR="00FF07F2" w:rsidRDefault="00FF07F2" w:rsidP="00523EA7">
          <w:pPr>
            <w:pStyle w:val="Zpat"/>
          </w:pPr>
        </w:p>
      </w:tc>
      <w:tc>
        <w:tcPr>
          <w:tcW w:w="5698" w:type="dxa"/>
          <w:shd w:val="clear" w:color="auto" w:fill="auto"/>
          <w:tcMar>
            <w:top w:w="57" w:type="dxa"/>
            <w:left w:w="0" w:type="dxa"/>
            <w:right w:w="0" w:type="dxa"/>
          </w:tcMar>
        </w:tcPr>
        <w:p w:rsidR="00FF07F2" w:rsidRPr="00D6163D" w:rsidRDefault="00FF07F2" w:rsidP="00D6163D">
          <w:pPr>
            <w:pStyle w:val="Druhdokumentu"/>
          </w:pPr>
        </w:p>
      </w:tc>
    </w:tr>
  </w:tbl>
  <w:p w:rsidR="00FF07F2" w:rsidRPr="00D6163D" w:rsidRDefault="00FF07F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F1715C">
      <w:trPr>
        <w:trHeight w:hRule="exact" w:val="936"/>
      </w:trPr>
      <w:tc>
        <w:tcPr>
          <w:tcW w:w="1361" w:type="dxa"/>
          <w:tcMar>
            <w:left w:w="0" w:type="dxa"/>
            <w:right w:w="0" w:type="dxa"/>
          </w:tcMar>
        </w:tcPr>
        <w:p w:rsidR="00FF07F2" w:rsidRPr="00B8518B" w:rsidRDefault="00FF07F2" w:rsidP="00FC6389">
          <w:pPr>
            <w:pStyle w:val="Zpat"/>
            <w:rPr>
              <w:rStyle w:val="slostrnky"/>
            </w:rPr>
          </w:pPr>
          <w:r>
            <w:rPr>
              <w:noProof/>
              <w:lang w:eastAsia="cs-CZ"/>
            </w:rPr>
            <w:drawing>
              <wp:anchor distT="0" distB="0" distL="114300" distR="114300" simplePos="0" relativeHeight="251683840" behindDoc="0" locked="1" layoutInCell="1" allowOverlap="1" wp14:anchorId="67B1B171" wp14:editId="26F1303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0DD2901C" wp14:editId="61EF408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EAFF7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Pr="00D6163D" w:rsidRDefault="00FF07F2" w:rsidP="00FC6389">
          <w:pPr>
            <w:pStyle w:val="Druhdokumentu"/>
          </w:pPr>
        </w:p>
      </w:tc>
    </w:tr>
    <w:tr w:rsidR="00FF07F2" w:rsidTr="00F64786">
      <w:trPr>
        <w:trHeight w:hRule="exact" w:val="452"/>
      </w:trPr>
      <w:tc>
        <w:tcPr>
          <w:tcW w:w="1361" w:type="dxa"/>
          <w:tcMar>
            <w:left w:w="0" w:type="dxa"/>
            <w:right w:w="0" w:type="dxa"/>
          </w:tcMar>
        </w:tcPr>
        <w:p w:rsidR="00FF07F2" w:rsidRPr="00B8518B" w:rsidRDefault="00FF07F2" w:rsidP="00FC6389">
          <w:pPr>
            <w:pStyle w:val="Zpat"/>
            <w:rPr>
              <w:rStyle w:val="slostrnky"/>
            </w:rPr>
          </w:pP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Default="00FF07F2" w:rsidP="00FC6389">
          <w:pPr>
            <w:pStyle w:val="Druhdokumentu"/>
            <w:rPr>
              <w:noProof/>
            </w:rPr>
          </w:pPr>
        </w:p>
      </w:tc>
    </w:tr>
  </w:tbl>
  <w:p w:rsidR="00FF07F2" w:rsidRPr="00D6163D" w:rsidRDefault="00FF07F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28AC03A" wp14:editId="0FFD34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415A4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F07F2" w:rsidRPr="00460660" w:rsidRDefault="00FF07F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9C1098"/>
    <w:multiLevelType w:val="hybridMultilevel"/>
    <w:tmpl w:val="BB541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273A92"/>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046ADC"/>
    <w:multiLevelType w:val="hybridMultilevel"/>
    <w:tmpl w:val="FE34D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10D448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0D4103"/>
    <w:multiLevelType w:val="hybridMultilevel"/>
    <w:tmpl w:val="2BD25CC4"/>
    <w:lvl w:ilvl="0" w:tplc="E5D245F4">
      <w:start w:val="1"/>
      <w:numFmt w:val="decimal"/>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41A6086"/>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484CBD"/>
    <w:multiLevelType w:val="hybridMultilevel"/>
    <w:tmpl w:val="DD408508"/>
    <w:lvl w:ilvl="0" w:tplc="2D06869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1AEB63A5"/>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872BB6"/>
    <w:multiLevelType w:val="hybridMultilevel"/>
    <w:tmpl w:val="D3AA9794"/>
    <w:lvl w:ilvl="0" w:tplc="6F9E8CBE">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3">
    <w:nsid w:val="249D4E94"/>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88E0C7E"/>
    <w:multiLevelType w:val="hybridMultilevel"/>
    <w:tmpl w:val="D3DE87AE"/>
    <w:lvl w:ilvl="0" w:tplc="4386BD1E">
      <w:start w:val="1"/>
      <w:numFmt w:val="decimal"/>
      <w:lvlText w:val="%1)"/>
      <w:lvlJc w:val="left"/>
      <w:pPr>
        <w:ind w:left="720" w:hanging="360"/>
      </w:pPr>
      <w:rPr>
        <w:rFonts w:ascii="Arial" w:hAnsi="Arial" w:cs="Arial" w:hint="default"/>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A391296"/>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BF76403"/>
    <w:multiLevelType w:val="multilevel"/>
    <w:tmpl w:val="0D34D660"/>
    <w:numStyleLink w:val="ListBulletmultilevel"/>
  </w:abstractNum>
  <w:abstractNum w:abstractNumId="17">
    <w:nsid w:val="2D554369"/>
    <w:multiLevelType w:val="hybridMultilevel"/>
    <w:tmpl w:val="7F461E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D920811"/>
    <w:multiLevelType w:val="hybridMultilevel"/>
    <w:tmpl w:val="59E40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7340402"/>
    <w:multiLevelType w:val="hybridMultilevel"/>
    <w:tmpl w:val="C1E0625C"/>
    <w:lvl w:ilvl="0" w:tplc="172A051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3B08549A"/>
    <w:multiLevelType w:val="hybridMultilevel"/>
    <w:tmpl w:val="A8D6B87A"/>
    <w:lvl w:ilvl="0" w:tplc="1E26E3D2">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4312408C"/>
    <w:multiLevelType w:val="hybridMultilevel"/>
    <w:tmpl w:val="1D105C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327734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75B3722"/>
    <w:multiLevelType w:val="hybridMultilevel"/>
    <w:tmpl w:val="AD5AE8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85C25B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7">
    <w:nsid w:val="4C0F1BA6"/>
    <w:multiLevelType w:val="hybridMultilevel"/>
    <w:tmpl w:val="F7D2D2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75810A2"/>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7940C1F"/>
    <w:multiLevelType w:val="hybridMultilevel"/>
    <w:tmpl w:val="98A0D9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996276D"/>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872204"/>
    <w:multiLevelType w:val="hybridMultilevel"/>
    <w:tmpl w:val="45D8D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0710E75"/>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2552548"/>
    <w:multiLevelType w:val="hybridMultilevel"/>
    <w:tmpl w:val="CB5872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4070991"/>
    <w:multiLevelType w:val="multilevel"/>
    <w:tmpl w:val="CABE99FC"/>
    <w:numStyleLink w:val="ListNumbermultilevel"/>
  </w:abstractNum>
  <w:abstractNum w:abstractNumId="35">
    <w:nsid w:val="74F05B63"/>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16"/>
  </w:num>
  <w:num w:numId="4">
    <w:abstractNumId w:val="34"/>
  </w:num>
  <w:num w:numId="5">
    <w:abstractNumId w:val="0"/>
  </w:num>
  <w:num w:numId="6">
    <w:abstractNumId w:val="26"/>
  </w:num>
  <w:num w:numId="7">
    <w:abstractNumId w:val="4"/>
  </w:num>
  <w:num w:numId="8">
    <w:abstractNumId w:val="24"/>
  </w:num>
  <w:num w:numId="9">
    <w:abstractNumId w:val="23"/>
  </w:num>
  <w:num w:numId="10">
    <w:abstractNumId w:val="20"/>
  </w:num>
  <w:num w:numId="11">
    <w:abstractNumId w:val="11"/>
  </w:num>
  <w:num w:numId="12">
    <w:abstractNumId w:val="2"/>
  </w:num>
  <w:num w:numId="13">
    <w:abstractNumId w:val="17"/>
  </w:num>
  <w:num w:numId="14">
    <w:abstractNumId w:val="6"/>
  </w:num>
  <w:num w:numId="15">
    <w:abstractNumId w:val="19"/>
  </w:num>
  <w:num w:numId="16">
    <w:abstractNumId w:val="18"/>
  </w:num>
  <w:num w:numId="17">
    <w:abstractNumId w:val="30"/>
  </w:num>
  <w:num w:numId="18">
    <w:abstractNumId w:val="8"/>
  </w:num>
  <w:num w:numId="19">
    <w:abstractNumId w:val="33"/>
  </w:num>
  <w:num w:numId="20">
    <w:abstractNumId w:val="35"/>
  </w:num>
  <w:num w:numId="21">
    <w:abstractNumId w:val="31"/>
  </w:num>
  <w:num w:numId="22">
    <w:abstractNumId w:val="21"/>
  </w:num>
  <w:num w:numId="23">
    <w:abstractNumId w:val="2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29"/>
  </w:num>
  <w:num w:numId="27">
    <w:abstractNumId w:val="12"/>
  </w:num>
  <w:num w:numId="28">
    <w:abstractNumId w:val="10"/>
  </w:num>
  <w:num w:numId="29">
    <w:abstractNumId w:val="28"/>
  </w:num>
  <w:num w:numId="30">
    <w:abstractNumId w:val="7"/>
  </w:num>
  <w:num w:numId="31">
    <w:abstractNumId w:val="13"/>
  </w:num>
  <w:num w:numId="32">
    <w:abstractNumId w:val="15"/>
  </w:num>
  <w:num w:numId="33">
    <w:abstractNumId w:val="5"/>
  </w:num>
  <w:num w:numId="34">
    <w:abstractNumId w:val="25"/>
  </w:num>
  <w:num w:numId="35">
    <w:abstractNumId w:val="3"/>
  </w:num>
  <w:num w:numId="36">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49C"/>
    <w:rsid w:val="00003E72"/>
    <w:rsid w:val="00033432"/>
    <w:rsid w:val="000335CC"/>
    <w:rsid w:val="00072C1E"/>
    <w:rsid w:val="000B2F30"/>
    <w:rsid w:val="000B3A82"/>
    <w:rsid w:val="000B6C7E"/>
    <w:rsid w:val="000B7907"/>
    <w:rsid w:val="000C0429"/>
    <w:rsid w:val="000C45E8"/>
    <w:rsid w:val="000C74D2"/>
    <w:rsid w:val="000E41D9"/>
    <w:rsid w:val="00111D76"/>
    <w:rsid w:val="00114472"/>
    <w:rsid w:val="00170EC5"/>
    <w:rsid w:val="001747C1"/>
    <w:rsid w:val="00176AD8"/>
    <w:rsid w:val="0018596A"/>
    <w:rsid w:val="001B69C2"/>
    <w:rsid w:val="001C4DA0"/>
    <w:rsid w:val="001C5E36"/>
    <w:rsid w:val="001F4872"/>
    <w:rsid w:val="00207DF5"/>
    <w:rsid w:val="00240083"/>
    <w:rsid w:val="00256063"/>
    <w:rsid w:val="00256467"/>
    <w:rsid w:val="002642D2"/>
    <w:rsid w:val="00267369"/>
    <w:rsid w:val="0026785D"/>
    <w:rsid w:val="00281D13"/>
    <w:rsid w:val="002B06CF"/>
    <w:rsid w:val="002B2F0A"/>
    <w:rsid w:val="002C31BF"/>
    <w:rsid w:val="002E0CD7"/>
    <w:rsid w:val="002F026B"/>
    <w:rsid w:val="0031433E"/>
    <w:rsid w:val="00357BC6"/>
    <w:rsid w:val="0037111D"/>
    <w:rsid w:val="003756B9"/>
    <w:rsid w:val="0038055F"/>
    <w:rsid w:val="003956C6"/>
    <w:rsid w:val="003A0BB0"/>
    <w:rsid w:val="003A3618"/>
    <w:rsid w:val="003E6B9A"/>
    <w:rsid w:val="003E75CE"/>
    <w:rsid w:val="003E7BF6"/>
    <w:rsid w:val="003F2C2E"/>
    <w:rsid w:val="003F4DAD"/>
    <w:rsid w:val="00400F99"/>
    <w:rsid w:val="0041380F"/>
    <w:rsid w:val="00450F07"/>
    <w:rsid w:val="00453CD3"/>
    <w:rsid w:val="00455BC7"/>
    <w:rsid w:val="00460660"/>
    <w:rsid w:val="00460CCB"/>
    <w:rsid w:val="00477370"/>
    <w:rsid w:val="004800E9"/>
    <w:rsid w:val="00486107"/>
    <w:rsid w:val="00491827"/>
    <w:rsid w:val="004926B0"/>
    <w:rsid w:val="004A7C69"/>
    <w:rsid w:val="004B0B5A"/>
    <w:rsid w:val="004C4399"/>
    <w:rsid w:val="004C69ED"/>
    <w:rsid w:val="004C787C"/>
    <w:rsid w:val="004E616C"/>
    <w:rsid w:val="004F4B9B"/>
    <w:rsid w:val="00501654"/>
    <w:rsid w:val="005117D3"/>
    <w:rsid w:val="00511AB9"/>
    <w:rsid w:val="00523EA7"/>
    <w:rsid w:val="00542527"/>
    <w:rsid w:val="00551D1F"/>
    <w:rsid w:val="00553375"/>
    <w:rsid w:val="005658A6"/>
    <w:rsid w:val="00570591"/>
    <w:rsid w:val="005720E7"/>
    <w:rsid w:val="005722BB"/>
    <w:rsid w:val="005736B7"/>
    <w:rsid w:val="00575BC4"/>
    <w:rsid w:val="00575E5A"/>
    <w:rsid w:val="00584E2A"/>
    <w:rsid w:val="00593C9B"/>
    <w:rsid w:val="00596C7E"/>
    <w:rsid w:val="005A3176"/>
    <w:rsid w:val="005A64E9"/>
    <w:rsid w:val="005A7047"/>
    <w:rsid w:val="005B5EE9"/>
    <w:rsid w:val="006104F6"/>
    <w:rsid w:val="0061068E"/>
    <w:rsid w:val="0061674D"/>
    <w:rsid w:val="00660AD3"/>
    <w:rsid w:val="006A5570"/>
    <w:rsid w:val="006A689C"/>
    <w:rsid w:val="006B3D79"/>
    <w:rsid w:val="006D3AE2"/>
    <w:rsid w:val="006E0578"/>
    <w:rsid w:val="006E314D"/>
    <w:rsid w:val="006E3EAB"/>
    <w:rsid w:val="006E7F06"/>
    <w:rsid w:val="00700FC2"/>
    <w:rsid w:val="00705071"/>
    <w:rsid w:val="00710723"/>
    <w:rsid w:val="00712ED1"/>
    <w:rsid w:val="00723ED1"/>
    <w:rsid w:val="00735ED4"/>
    <w:rsid w:val="00743525"/>
    <w:rsid w:val="00744612"/>
    <w:rsid w:val="007531A0"/>
    <w:rsid w:val="0076286B"/>
    <w:rsid w:val="00764595"/>
    <w:rsid w:val="00766846"/>
    <w:rsid w:val="0077673A"/>
    <w:rsid w:val="007846E1"/>
    <w:rsid w:val="007B570C"/>
    <w:rsid w:val="007C7C4A"/>
    <w:rsid w:val="007E4A6E"/>
    <w:rsid w:val="007F56A7"/>
    <w:rsid w:val="00807DD0"/>
    <w:rsid w:val="00812E69"/>
    <w:rsid w:val="00813F11"/>
    <w:rsid w:val="00825B0C"/>
    <w:rsid w:val="008302E6"/>
    <w:rsid w:val="0086063D"/>
    <w:rsid w:val="00871912"/>
    <w:rsid w:val="00891334"/>
    <w:rsid w:val="008A3568"/>
    <w:rsid w:val="008D03B9"/>
    <w:rsid w:val="008E0D77"/>
    <w:rsid w:val="008E5F0E"/>
    <w:rsid w:val="008F145C"/>
    <w:rsid w:val="008F18D6"/>
    <w:rsid w:val="008F5346"/>
    <w:rsid w:val="00904780"/>
    <w:rsid w:val="009113A8"/>
    <w:rsid w:val="0092166E"/>
    <w:rsid w:val="00922385"/>
    <w:rsid w:val="009223DF"/>
    <w:rsid w:val="00936091"/>
    <w:rsid w:val="00937ADB"/>
    <w:rsid w:val="00940D8A"/>
    <w:rsid w:val="00962258"/>
    <w:rsid w:val="0096272A"/>
    <w:rsid w:val="009678B7"/>
    <w:rsid w:val="00982411"/>
    <w:rsid w:val="00992D9C"/>
    <w:rsid w:val="00996CB8"/>
    <w:rsid w:val="009A7568"/>
    <w:rsid w:val="009B2E97"/>
    <w:rsid w:val="009B3C69"/>
    <w:rsid w:val="009B72CC"/>
    <w:rsid w:val="009C15F6"/>
    <w:rsid w:val="009E07F4"/>
    <w:rsid w:val="009E48F0"/>
    <w:rsid w:val="009F392E"/>
    <w:rsid w:val="00A44042"/>
    <w:rsid w:val="00A44328"/>
    <w:rsid w:val="00A6177B"/>
    <w:rsid w:val="00A66136"/>
    <w:rsid w:val="00AA4CBB"/>
    <w:rsid w:val="00AA65FA"/>
    <w:rsid w:val="00AA7351"/>
    <w:rsid w:val="00AA7F86"/>
    <w:rsid w:val="00AD056F"/>
    <w:rsid w:val="00AD1F27"/>
    <w:rsid w:val="00AD2773"/>
    <w:rsid w:val="00AD6731"/>
    <w:rsid w:val="00AE1DDE"/>
    <w:rsid w:val="00AF7957"/>
    <w:rsid w:val="00B15B5E"/>
    <w:rsid w:val="00B15D0D"/>
    <w:rsid w:val="00B23CA3"/>
    <w:rsid w:val="00B3491A"/>
    <w:rsid w:val="00B45E9E"/>
    <w:rsid w:val="00B55F9C"/>
    <w:rsid w:val="00B75EE1"/>
    <w:rsid w:val="00B77481"/>
    <w:rsid w:val="00B8518B"/>
    <w:rsid w:val="00BB3740"/>
    <w:rsid w:val="00BD5319"/>
    <w:rsid w:val="00BD55D1"/>
    <w:rsid w:val="00BD7E91"/>
    <w:rsid w:val="00BF374D"/>
    <w:rsid w:val="00BF4924"/>
    <w:rsid w:val="00BF6D48"/>
    <w:rsid w:val="00C02D0A"/>
    <w:rsid w:val="00C03A6E"/>
    <w:rsid w:val="00C15AF3"/>
    <w:rsid w:val="00C27CAB"/>
    <w:rsid w:val="00C30759"/>
    <w:rsid w:val="00C44F6A"/>
    <w:rsid w:val="00C56EF4"/>
    <w:rsid w:val="00C6237B"/>
    <w:rsid w:val="00C727E5"/>
    <w:rsid w:val="00C8207D"/>
    <w:rsid w:val="00CB7B5A"/>
    <w:rsid w:val="00CC00E6"/>
    <w:rsid w:val="00CC1E2B"/>
    <w:rsid w:val="00CD1FC4"/>
    <w:rsid w:val="00CD7937"/>
    <w:rsid w:val="00CE371D"/>
    <w:rsid w:val="00D02A4D"/>
    <w:rsid w:val="00D21061"/>
    <w:rsid w:val="00D316A7"/>
    <w:rsid w:val="00D36EA8"/>
    <w:rsid w:val="00D4108E"/>
    <w:rsid w:val="00D6163D"/>
    <w:rsid w:val="00D63009"/>
    <w:rsid w:val="00D6609F"/>
    <w:rsid w:val="00D831A3"/>
    <w:rsid w:val="00D902AD"/>
    <w:rsid w:val="00DA6FFE"/>
    <w:rsid w:val="00DC3110"/>
    <w:rsid w:val="00DC6282"/>
    <w:rsid w:val="00DD46F3"/>
    <w:rsid w:val="00DD58A6"/>
    <w:rsid w:val="00DD69C2"/>
    <w:rsid w:val="00DE4035"/>
    <w:rsid w:val="00DE56F2"/>
    <w:rsid w:val="00DF116D"/>
    <w:rsid w:val="00E03321"/>
    <w:rsid w:val="00E10710"/>
    <w:rsid w:val="00E56B31"/>
    <w:rsid w:val="00E824F1"/>
    <w:rsid w:val="00EB104F"/>
    <w:rsid w:val="00EB4909"/>
    <w:rsid w:val="00EB4A17"/>
    <w:rsid w:val="00EC3C53"/>
    <w:rsid w:val="00ED14BD"/>
    <w:rsid w:val="00EF418A"/>
    <w:rsid w:val="00F01440"/>
    <w:rsid w:val="00F07F8F"/>
    <w:rsid w:val="00F12DEC"/>
    <w:rsid w:val="00F1422A"/>
    <w:rsid w:val="00F1715C"/>
    <w:rsid w:val="00F310F8"/>
    <w:rsid w:val="00F35939"/>
    <w:rsid w:val="00F41D5F"/>
    <w:rsid w:val="00F45607"/>
    <w:rsid w:val="00F64786"/>
    <w:rsid w:val="00F659EB"/>
    <w:rsid w:val="00F65E59"/>
    <w:rsid w:val="00F804A7"/>
    <w:rsid w:val="00F862D6"/>
    <w:rsid w:val="00F86BA6"/>
    <w:rsid w:val="00FA4057"/>
    <w:rsid w:val="00FB7E02"/>
    <w:rsid w:val="00FC26F4"/>
    <w:rsid w:val="00FC6389"/>
    <w:rsid w:val="00FD2F51"/>
    <w:rsid w:val="00FE3455"/>
    <w:rsid w:val="00FF07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4503">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45773364">
      <w:bodyDiv w:val="1"/>
      <w:marLeft w:val="0"/>
      <w:marRight w:val="0"/>
      <w:marTop w:val="0"/>
      <w:marBottom w:val="0"/>
      <w:divBdr>
        <w:top w:val="none" w:sz="0" w:space="0" w:color="auto"/>
        <w:left w:val="none" w:sz="0" w:space="0" w:color="auto"/>
        <w:bottom w:val="none" w:sz="0" w:space="0" w:color="auto"/>
        <w:right w:val="none" w:sz="0" w:space="0" w:color="auto"/>
      </w:divBdr>
    </w:div>
    <w:div w:id="461266835">
      <w:bodyDiv w:val="1"/>
      <w:marLeft w:val="0"/>
      <w:marRight w:val="0"/>
      <w:marTop w:val="0"/>
      <w:marBottom w:val="0"/>
      <w:divBdr>
        <w:top w:val="none" w:sz="0" w:space="0" w:color="auto"/>
        <w:left w:val="none" w:sz="0" w:space="0" w:color="auto"/>
        <w:bottom w:val="none" w:sz="0" w:space="0" w:color="auto"/>
        <w:right w:val="none" w:sz="0" w:space="0" w:color="auto"/>
      </w:divBdr>
    </w:div>
    <w:div w:id="719403937">
      <w:bodyDiv w:val="1"/>
      <w:marLeft w:val="0"/>
      <w:marRight w:val="0"/>
      <w:marTop w:val="0"/>
      <w:marBottom w:val="0"/>
      <w:divBdr>
        <w:top w:val="none" w:sz="0" w:space="0" w:color="auto"/>
        <w:left w:val="none" w:sz="0" w:space="0" w:color="auto"/>
        <w:bottom w:val="none" w:sz="0" w:space="0" w:color="auto"/>
        <w:right w:val="none" w:sz="0" w:space="0" w:color="auto"/>
      </w:divBdr>
    </w:div>
    <w:div w:id="958143049">
      <w:bodyDiv w:val="1"/>
      <w:marLeft w:val="0"/>
      <w:marRight w:val="0"/>
      <w:marTop w:val="0"/>
      <w:marBottom w:val="0"/>
      <w:divBdr>
        <w:top w:val="none" w:sz="0" w:space="0" w:color="auto"/>
        <w:left w:val="none" w:sz="0" w:space="0" w:color="auto"/>
        <w:bottom w:val="none" w:sz="0" w:space="0" w:color="auto"/>
        <w:right w:val="none" w:sz="0" w:space="0" w:color="auto"/>
      </w:divBdr>
    </w:div>
    <w:div w:id="963272765">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6779403">
      <w:bodyDiv w:val="1"/>
      <w:marLeft w:val="0"/>
      <w:marRight w:val="0"/>
      <w:marTop w:val="0"/>
      <w:marBottom w:val="0"/>
      <w:divBdr>
        <w:top w:val="none" w:sz="0" w:space="0" w:color="auto"/>
        <w:left w:val="none" w:sz="0" w:space="0" w:color="auto"/>
        <w:bottom w:val="none" w:sz="0" w:space="0" w:color="auto"/>
        <w:right w:val="none" w:sz="0" w:space="0" w:color="auto"/>
      </w:divBdr>
    </w:div>
    <w:div w:id="1458447343">
      <w:bodyDiv w:val="1"/>
      <w:marLeft w:val="0"/>
      <w:marRight w:val="0"/>
      <w:marTop w:val="0"/>
      <w:marBottom w:val="0"/>
      <w:divBdr>
        <w:top w:val="none" w:sz="0" w:space="0" w:color="auto"/>
        <w:left w:val="none" w:sz="0" w:space="0" w:color="auto"/>
        <w:bottom w:val="none" w:sz="0" w:space="0" w:color="auto"/>
        <w:right w:val="none" w:sz="0" w:space="0" w:color="auto"/>
      </w:divBdr>
    </w:div>
    <w:div w:id="1518734630">
      <w:bodyDiv w:val="1"/>
      <w:marLeft w:val="0"/>
      <w:marRight w:val="0"/>
      <w:marTop w:val="0"/>
      <w:marBottom w:val="0"/>
      <w:divBdr>
        <w:top w:val="none" w:sz="0" w:space="0" w:color="auto"/>
        <w:left w:val="none" w:sz="0" w:space="0" w:color="auto"/>
        <w:bottom w:val="none" w:sz="0" w:space="0" w:color="auto"/>
        <w:right w:val="none" w:sz="0" w:space="0" w:color="auto"/>
      </w:divBdr>
    </w:div>
    <w:div w:id="152883285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00930455">
      <w:bodyDiv w:val="1"/>
      <w:marLeft w:val="0"/>
      <w:marRight w:val="0"/>
      <w:marTop w:val="0"/>
      <w:marBottom w:val="0"/>
      <w:divBdr>
        <w:top w:val="none" w:sz="0" w:space="0" w:color="auto"/>
        <w:left w:val="none" w:sz="0" w:space="0" w:color="auto"/>
        <w:bottom w:val="none" w:sz="0" w:space="0" w:color="auto"/>
        <w:right w:val="none" w:sz="0" w:space="0" w:color="auto"/>
      </w:divBdr>
    </w:div>
    <w:div w:id="185194463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1414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B02962-320A-4131-90FA-F1A7491B8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1</Pages>
  <Words>2270</Words>
  <Characters>13393</Characters>
  <Application>Microsoft Office Word</Application>
  <DocSecurity>0</DocSecurity>
  <Lines>111</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15632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Kuta Libor, Ing.</cp:lastModifiedBy>
  <cp:revision>4</cp:revision>
  <cp:lastPrinted>2020-08-26T11:42:00Z</cp:lastPrinted>
  <dcterms:created xsi:type="dcterms:W3CDTF">2020-08-26T11:42:00Z</dcterms:created>
  <dcterms:modified xsi:type="dcterms:W3CDTF">2020-08-26T11:43:00Z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