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E4523D" w:rsidRPr="00C2699E">
        <w:rPr>
          <w:rFonts w:ascii="Verdana" w:hAnsi="Verdana"/>
          <w:sz w:val="18"/>
          <w:szCs w:val="18"/>
        </w:rPr>
        <w:t>Oprava výhybek v dopravně Bošice a oprava trati v úseku Bošice – Kouřim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4523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E4523D" w:rsidRPr="00E4523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B530F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523D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6264DF3"/>
  <w15:docId w15:val="{71534E4A-1A5F-4F17-96B6-9D92E66A4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53B95EF-ADC3-4783-B54B-D083FD5045E2}">
  <ds:schemaRefs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schemas.openxmlformats.org/package/2006/metadata/core-properties"/>
    <ds:schemaRef ds:uri="http://purl.org/dc/dcmitype/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2406434C-44BC-4F8C-A70B-A524B3CBA8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283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Mantlíková Lucie</cp:lastModifiedBy>
  <cp:revision>3</cp:revision>
  <cp:lastPrinted>2016-08-01T07:54:00Z</cp:lastPrinted>
  <dcterms:created xsi:type="dcterms:W3CDTF">2020-08-03T10:25:00Z</dcterms:created>
  <dcterms:modified xsi:type="dcterms:W3CDTF">2020-08-05T07:23:00Z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