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3F2E5D" w:rsidP="0037111D">
            <w:pPr>
              <w:rPr>
                <w:szCs w:val="14"/>
              </w:rPr>
            </w:pPr>
            <w:r w:rsidRPr="003F2E5D">
              <w:rPr>
                <w:szCs w:val="14"/>
              </w:rPr>
              <w:t>7136/2020-SŽ-SSV-Ú3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F2E5D" w:rsidP="003F2E5D">
            <w:pPr>
              <w:rPr>
                <w:szCs w:val="14"/>
              </w:rPr>
            </w:pPr>
            <w:r>
              <w:rPr>
                <w:szCs w:val="14"/>
              </w:rPr>
              <w:t>13</w:t>
            </w:r>
            <w:r w:rsidR="003E6B9A" w:rsidRPr="001A6F12">
              <w:rPr>
                <w:szCs w:val="14"/>
              </w:rPr>
              <w:t>/</w:t>
            </w:r>
            <w:r>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F2E5D"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F2E5D"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3F2E5D"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6860AE" w:rsidP="009A7568">
            <w:pPr>
              <w:rPr>
                <w:szCs w:val="14"/>
              </w:rPr>
            </w:pPr>
            <w:bookmarkStart w:id="0" w:name="Datum"/>
            <w:r>
              <w:rPr>
                <w:szCs w:val="14"/>
              </w:rPr>
              <w:t>5. srpna 2020</w:t>
            </w:r>
            <w:bookmarkStart w:id="1" w:name="_GoBack"/>
            <w:bookmarkEnd w:id="1"/>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9C2B8D" w:rsidRDefault="003F2E5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r w:rsidRPr="00801E26">
        <w:rPr>
          <w:rFonts w:eastAsia="Times New Roman" w:cs="Times New Roman"/>
          <w:b/>
          <w:bCs/>
          <w:i/>
          <w:lang w:eastAsia="cs-CZ"/>
        </w:rPr>
        <w:t>Technická pomoc investorovi (dále jen TPI)</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F2E5D" w:rsidRPr="003F2E5D">
        <w:rPr>
          <w:rFonts w:eastAsia="Times New Roman" w:cs="Times New Roman"/>
          <w:b/>
          <w:lang w:eastAsia="cs-CZ"/>
        </w:rPr>
        <w:t>Modernizace železničního uzlu Pardubice</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3F2E5D">
        <w:rPr>
          <w:rFonts w:eastAsia="Times New Roman" w:cs="Times New Roman"/>
          <w:lang w:eastAsia="cs-CZ"/>
        </w:rPr>
        <w:t>61720250</w:t>
      </w:r>
      <w:r w:rsidRPr="00FC44E6">
        <w:rPr>
          <w:rFonts w:eastAsia="Times New Roman" w:cs="Times New Roman"/>
          <w:lang w:eastAsia="cs-CZ"/>
        </w:rPr>
        <w:t>)</w:t>
      </w: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F2E5D">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FC44E6" w:rsidRDefault="00FC44E6" w:rsidP="00FC44E6">
      <w:pPr>
        <w:spacing w:after="0" w:line="240" w:lineRule="auto"/>
        <w:ind w:left="426"/>
        <w:jc w:val="both"/>
        <w:rPr>
          <w:rFonts w:eastAsia="Times New Roman" w:cs="Times New Roman"/>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F2E5D">
        <w:rPr>
          <w:rFonts w:eastAsia="Times New Roman" w:cs="Arial"/>
          <w:lang w:eastAsia="cs-CZ"/>
        </w:rPr>
        <w:t>Žaneta Ošťádalová</w:t>
      </w:r>
      <w:r w:rsidRPr="00FC44E6">
        <w:rPr>
          <w:rFonts w:eastAsia="Times New Roman" w:cs="Times New Roman"/>
          <w:lang w:eastAsia="cs-CZ"/>
        </w:rPr>
        <w:t xml:space="preserve">, telefon: </w:t>
      </w:r>
      <w:r w:rsidR="003F2E5D">
        <w:rPr>
          <w:rFonts w:eastAsia="Times New Roman" w:cs="Arial"/>
          <w:lang w:eastAsia="cs-CZ"/>
        </w:rPr>
        <w:t>+420 720 964 629</w:t>
      </w:r>
      <w:r w:rsidRPr="00FC44E6">
        <w:rPr>
          <w:rFonts w:eastAsia="Times New Roman" w:cs="Times New Roman"/>
          <w:lang w:eastAsia="cs-CZ"/>
        </w:rPr>
        <w:t xml:space="preserve">, e-mail: </w:t>
      </w:r>
      <w:r w:rsidR="003F2E5D">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DD6339" w:rsidRPr="00DD6339">
        <w:rPr>
          <w:rFonts w:eastAsia="Times New Roman" w:cs="Arial"/>
          <w:b/>
          <w:lang w:eastAsia="cs-CZ"/>
        </w:rPr>
        <w:t>4 590 000,</w:t>
      </w:r>
      <w:r w:rsidR="00DD6339">
        <w:rPr>
          <w:rFonts w:eastAsia="Times New Roman" w:cs="Times New Roman"/>
          <w:b/>
          <w:lang w:eastAsia="cs-CZ"/>
        </w:rPr>
        <w:t xml:space="preserve">00 </w:t>
      </w:r>
      <w:r w:rsidRPr="00F01FED">
        <w:rPr>
          <w:rFonts w:eastAsia="Times New Roman" w:cs="Times New Roman"/>
          <w:b/>
          <w:lang w:eastAsia="cs-CZ"/>
        </w:rPr>
        <w:t>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A5303E" w:rsidRPr="00A5303E" w:rsidRDefault="00F01FED" w:rsidP="00A5303E">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A5303E" w:rsidRPr="00A5303E">
        <w:rPr>
          <w:rFonts w:eastAsia="Times New Roman" w:cs="Times New Roman"/>
          <w:lang w:eastAsia="cs-CZ"/>
        </w:rPr>
        <w:t xml:space="preserve">technická pomoc investorovi při realizaci stavby </w:t>
      </w:r>
    </w:p>
    <w:p w:rsid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„Modernizace železničního uzlu Pardubice“</w:t>
      </w:r>
    </w:p>
    <w:p w:rsidR="00A5303E" w:rsidRPr="00A5303E" w:rsidRDefault="00A5303E" w:rsidP="00A5303E">
      <w:pPr>
        <w:spacing w:after="0" w:line="240" w:lineRule="auto"/>
        <w:ind w:left="426"/>
        <w:jc w:val="both"/>
        <w:rPr>
          <w:rFonts w:eastAsia="Times New Roman" w:cs="Times New Roman"/>
          <w:lang w:eastAsia="cs-CZ"/>
        </w:rPr>
      </w:pPr>
    </w:p>
    <w:p w:rsid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Cílem bude oprávněné, zdůvodněné, plynulé a bezproblémové čerpání finančních prostředků z fondu EU a SFDI na základě podkladů – projektu pro provedení stavby, realizační projektové dokumentace zhotovitele, smlouvy o dílo mezi zhotovitelem stavby a stavebníkem a kontrolní činnosti prováděné „IN SITU“.</w:t>
      </w:r>
    </w:p>
    <w:p w:rsidR="00A5303E" w:rsidRPr="00A5303E" w:rsidRDefault="00A5303E" w:rsidP="00A5303E">
      <w:pPr>
        <w:spacing w:after="0" w:line="240" w:lineRule="auto"/>
        <w:ind w:left="426"/>
        <w:jc w:val="both"/>
        <w:rPr>
          <w:rFonts w:eastAsia="Times New Roman" w:cs="Times New Roman"/>
          <w:lang w:eastAsia="cs-CZ"/>
        </w:rPr>
      </w:pPr>
    </w:p>
    <w:p w:rsid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TPI rozhodně představuje:</w:t>
      </w:r>
    </w:p>
    <w:p w:rsidR="00A5303E" w:rsidRPr="00A5303E" w:rsidRDefault="00A5303E" w:rsidP="00A5303E">
      <w:pPr>
        <w:spacing w:after="0" w:line="240" w:lineRule="auto"/>
        <w:ind w:left="426"/>
        <w:jc w:val="both"/>
        <w:rPr>
          <w:rFonts w:eastAsia="Times New Roman" w:cs="Times New Roman"/>
          <w:lang w:eastAsia="cs-CZ"/>
        </w:rPr>
      </w:pP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sledování souladu průběhu stavby s harmonogramem zhotovitele včetně z toho plynoucího řešení důsledků případného nesouladu</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o</w:t>
      </w:r>
      <w:r w:rsidRPr="00A5303E">
        <w:rPr>
          <w:rFonts w:eastAsia="Times New Roman" w:cs="Times New Roman"/>
          <w:lang w:eastAsia="cs-CZ"/>
        </w:rPr>
        <w:tab/>
        <w:t>identifikace potřeby a realizace změn stavby proti DPS</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o</w:t>
      </w:r>
      <w:r w:rsidRPr="00A5303E">
        <w:rPr>
          <w:rFonts w:eastAsia="Times New Roman" w:cs="Times New Roman"/>
          <w:lang w:eastAsia="cs-CZ"/>
        </w:rPr>
        <w:tab/>
        <w:t xml:space="preserve">prověřování a potvrzování zdůvodněné potřeby vzniku </w:t>
      </w:r>
      <w:proofErr w:type="spellStart"/>
      <w:r w:rsidRPr="00A5303E">
        <w:rPr>
          <w:rFonts w:eastAsia="Times New Roman" w:cs="Times New Roman"/>
          <w:lang w:eastAsia="cs-CZ"/>
        </w:rPr>
        <w:t>méněprací</w:t>
      </w:r>
      <w:proofErr w:type="spellEnd"/>
      <w:r w:rsidRPr="00A5303E">
        <w:rPr>
          <w:rFonts w:eastAsia="Times New Roman" w:cs="Times New Roman"/>
          <w:lang w:eastAsia="cs-CZ"/>
        </w:rPr>
        <w:t xml:space="preserve"> a víceprací; písemná stanoviska k jednotlivým případům</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o</w:t>
      </w:r>
      <w:r w:rsidRPr="00A5303E">
        <w:rPr>
          <w:rFonts w:eastAsia="Times New Roman" w:cs="Times New Roman"/>
          <w:lang w:eastAsia="cs-CZ"/>
        </w:rPr>
        <w:tab/>
        <w:t>kontrola efektivního a především ekonomického řešení víceprací dle návrhu zhotovitele stavby; důsledná kontrola rozpočtů víceprací předkládaná zhotovitelem</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o</w:t>
      </w:r>
      <w:r w:rsidRPr="00A5303E">
        <w:rPr>
          <w:rFonts w:eastAsia="Times New Roman" w:cs="Times New Roman"/>
          <w:lang w:eastAsia="cs-CZ"/>
        </w:rPr>
        <w:tab/>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o</w:t>
      </w:r>
      <w:r w:rsidRPr="00A5303E">
        <w:rPr>
          <w:rFonts w:eastAsia="Times New Roman" w:cs="Times New Roman"/>
          <w:lang w:eastAsia="cs-CZ"/>
        </w:rPr>
        <w:tab/>
        <w:t>důsledná, důkladná a podrobná kontrola realizace schválených víceprací</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dílčí plnění – měsíčně na základě výkazu provedené a správcem stavby (TDS) potvrzené činnosti</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písemná stanoviska budou předávána nejpozději do 10 dnů od předání požadavku TDS (vedoucího pracovního týmu – správce stavby) k vyjádření</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podklady pro oficiální monitoring průběhu realizace (spolupráce při zpracování průběžných monitorovacích zpráv pro potřeby agentury INEA)</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na základě požadavku objednatele zajistit podle pokynů potřebné tabulkové podklady pro průběžné monitorovací zprávy o vývoji projektu</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 xml:space="preserve">na základě požadavku objednatele rozřazení a sledování způsobilých nákladů dle činností/aktivit z CEF smlouvy s EU/Grant </w:t>
      </w:r>
      <w:proofErr w:type="spellStart"/>
      <w:r w:rsidRPr="00A5303E">
        <w:rPr>
          <w:rFonts w:eastAsia="Times New Roman" w:cs="Times New Roman"/>
          <w:lang w:eastAsia="cs-CZ"/>
        </w:rPr>
        <w:t>Agreement</w:t>
      </w:r>
      <w:proofErr w:type="spellEnd"/>
      <w:r w:rsidRPr="00A5303E">
        <w:rPr>
          <w:rFonts w:eastAsia="Times New Roman" w:cs="Times New Roman"/>
          <w:lang w:eastAsia="cs-CZ"/>
        </w:rPr>
        <w:t xml:space="preserve"> prostřednictvím aplikace ASPE. Výstup z ASPE musí v rámci měsíční fakturace generovat přehled plnění po aktivitách (za fakturu a celkem)</w:t>
      </w:r>
    </w:p>
    <w:p w:rsidR="00A5303E" w:rsidRPr="00A5303E" w:rsidRDefault="00A5303E" w:rsidP="00A5303E">
      <w:pPr>
        <w:spacing w:after="0" w:line="240" w:lineRule="auto"/>
        <w:ind w:left="426"/>
        <w:jc w:val="both"/>
        <w:rPr>
          <w:rFonts w:eastAsia="Times New Roman" w:cs="Times New Roman"/>
          <w:lang w:eastAsia="cs-CZ"/>
        </w:rPr>
      </w:pPr>
      <w:r w:rsidRPr="00A5303E">
        <w:rPr>
          <w:rFonts w:eastAsia="Times New Roman" w:cs="Times New Roman"/>
          <w:lang w:eastAsia="cs-CZ"/>
        </w:rPr>
        <w:t>-</w:t>
      </w:r>
      <w:r w:rsidRPr="00A5303E">
        <w:rPr>
          <w:rFonts w:eastAsia="Times New Roman" w:cs="Times New Roman"/>
          <w:lang w:eastAsia="cs-CZ"/>
        </w:rPr>
        <w:tab/>
        <w:t>na základě požadavku objednatele zpracování podle pokynů dalších podkladů pro průběžnou monitorovací zprávu jako informativní podklad pro objednatele.</w:t>
      </w:r>
    </w:p>
    <w:p w:rsidR="00A5303E" w:rsidRPr="00A5303E" w:rsidRDefault="00A5303E" w:rsidP="00A5303E">
      <w:pPr>
        <w:spacing w:after="0" w:line="240" w:lineRule="auto"/>
        <w:ind w:left="426"/>
        <w:jc w:val="both"/>
        <w:rPr>
          <w:rFonts w:eastAsia="Times New Roman" w:cs="Times New Roman"/>
          <w:lang w:eastAsia="cs-CZ"/>
        </w:rPr>
      </w:pPr>
    </w:p>
    <w:p w:rsidR="00F01FED" w:rsidRPr="00F01FED" w:rsidRDefault="00A5303E" w:rsidP="00A5303E">
      <w:pPr>
        <w:spacing w:after="0" w:line="240" w:lineRule="auto"/>
        <w:ind w:left="426"/>
        <w:rPr>
          <w:rFonts w:eastAsia="Times New Roman" w:cs="Times New Roman"/>
          <w:b/>
          <w:lang w:eastAsia="cs-CZ"/>
        </w:rPr>
      </w:pPr>
      <w:r>
        <w:rPr>
          <w:rFonts w:eastAsia="Times New Roman" w:cs="Times New Roman"/>
          <w:b/>
          <w:lang w:eastAsia="cs-CZ"/>
        </w:rPr>
        <w:t xml:space="preserve">CPV: </w:t>
      </w:r>
      <w:r w:rsidRPr="00A5303E">
        <w:rPr>
          <w:rFonts w:eastAsia="Times New Roman" w:cs="Times New Roman"/>
          <w:b/>
          <w:lang w:eastAsia="cs-CZ"/>
        </w:rPr>
        <w:t>71311230-2</w:t>
      </w:r>
      <w:r w:rsidRPr="00A5303E">
        <w:rPr>
          <w:rFonts w:eastAsia="Times New Roman" w:cs="Times New Roman"/>
          <w:lang w:eastAsia="cs-CZ"/>
        </w:rPr>
        <w:t xml:space="preserve"> Poradenství v oblasti stavebního inženýrství –železniční stavitelství</w:t>
      </w:r>
      <w:r w:rsidR="00F01FED"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rsidR="00F01FED" w:rsidRPr="00A5303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w:t>
      </w:r>
      <w:r w:rsidRPr="00A5303E">
        <w:rPr>
          <w:rFonts w:eastAsia="Times New Roman" w:cs="Times New Roman"/>
          <w:lang w:eastAsia="cs-CZ"/>
        </w:rPr>
        <w:t>Zadávací dokumentace obsahuje následující dokumenty:</w:t>
      </w:r>
    </w:p>
    <w:p w:rsidR="00F01FED" w:rsidRPr="00A5303E" w:rsidRDefault="00F01FED" w:rsidP="00F01FED">
      <w:pPr>
        <w:spacing w:after="0" w:line="240" w:lineRule="auto"/>
        <w:ind w:left="426"/>
        <w:jc w:val="both"/>
        <w:rPr>
          <w:rFonts w:eastAsia="Times New Roman" w:cs="Times New Roman"/>
          <w:lang w:eastAsia="cs-CZ"/>
        </w:rPr>
      </w:pPr>
    </w:p>
    <w:p w:rsidR="00F01FED" w:rsidRPr="00A5303E" w:rsidRDefault="00F01FED" w:rsidP="00A5303E">
      <w:pPr>
        <w:numPr>
          <w:ilvl w:val="0"/>
          <w:numId w:val="8"/>
        </w:numPr>
        <w:spacing w:after="0" w:line="240" w:lineRule="auto"/>
        <w:ind w:left="709" w:hanging="283"/>
        <w:rPr>
          <w:rFonts w:eastAsia="Times New Roman" w:cs="Times New Roman"/>
          <w:lang w:eastAsia="cs-CZ"/>
        </w:rPr>
      </w:pPr>
      <w:r w:rsidRPr="00A5303E">
        <w:rPr>
          <w:rFonts w:eastAsia="Times New Roman" w:cs="Times New Roman"/>
          <w:lang w:eastAsia="cs-CZ"/>
        </w:rPr>
        <w:t xml:space="preserve">Výzva k podání nabídky č. j. </w:t>
      </w:r>
      <w:r w:rsidR="00A5303E" w:rsidRPr="00A5303E">
        <w:rPr>
          <w:rFonts w:eastAsia="Times New Roman" w:cs="Times New Roman"/>
          <w:lang w:eastAsia="cs-CZ"/>
        </w:rPr>
        <w:t>7136/2020-SŽ-SSV-Ú3/</w:t>
      </w:r>
      <w:proofErr w:type="spellStart"/>
      <w:r w:rsidR="00A5303E" w:rsidRPr="00A5303E">
        <w:rPr>
          <w:rFonts w:eastAsia="Times New Roman" w:cs="Times New Roman"/>
          <w:lang w:eastAsia="cs-CZ"/>
        </w:rPr>
        <w:t>Ošť</w:t>
      </w:r>
      <w:proofErr w:type="spellEnd"/>
      <w:r w:rsidRPr="00A5303E">
        <w:rPr>
          <w:rFonts w:eastAsia="Times New Roman" w:cs="Times New Roman"/>
          <w:lang w:eastAsia="cs-CZ"/>
        </w:rPr>
        <w:t xml:space="preserve"> ze dne </w:t>
      </w:r>
      <w:r w:rsidR="00A5303E">
        <w:rPr>
          <w:rFonts w:eastAsia="Times New Roman" w:cs="Times New Roman"/>
          <w:lang w:eastAsia="cs-CZ"/>
        </w:rPr>
        <w:t>5.8.2020</w:t>
      </w:r>
      <w:r w:rsidRPr="00A5303E">
        <w:rPr>
          <w:rFonts w:eastAsia="Times New Roman" w:cs="Times New Roman"/>
          <w:lang w:eastAsia="cs-CZ"/>
        </w:rPr>
        <w:t xml:space="preserve"> (dále jen “Výzva”), </w:t>
      </w:r>
    </w:p>
    <w:p w:rsidR="00F01FED" w:rsidRPr="00A5303E" w:rsidRDefault="00F01FED" w:rsidP="00A5303E">
      <w:pPr>
        <w:numPr>
          <w:ilvl w:val="0"/>
          <w:numId w:val="8"/>
        </w:numPr>
        <w:spacing w:after="0" w:line="240" w:lineRule="auto"/>
        <w:ind w:left="709" w:hanging="283"/>
        <w:rPr>
          <w:rFonts w:eastAsia="Times New Roman" w:cs="Times New Roman"/>
          <w:lang w:eastAsia="cs-CZ"/>
        </w:rPr>
      </w:pPr>
      <w:r w:rsidRPr="00A5303E">
        <w:rPr>
          <w:rFonts w:eastAsia="Times New Roman" w:cs="Times New Roman"/>
          <w:lang w:eastAsia="cs-CZ"/>
        </w:rPr>
        <w:t>Závazný vzor Smlouvy o dílo,</w:t>
      </w:r>
    </w:p>
    <w:p w:rsidR="00F01FED" w:rsidRPr="00A5303E" w:rsidRDefault="00F01FED" w:rsidP="00A5303E">
      <w:pPr>
        <w:numPr>
          <w:ilvl w:val="0"/>
          <w:numId w:val="8"/>
        </w:numPr>
        <w:spacing w:after="0" w:line="240" w:lineRule="auto"/>
        <w:ind w:left="709" w:hanging="283"/>
        <w:rPr>
          <w:rFonts w:eastAsia="Times New Roman" w:cs="Times New Roman"/>
          <w:lang w:eastAsia="cs-CZ"/>
        </w:rPr>
      </w:pPr>
      <w:r w:rsidRPr="00A5303E">
        <w:rPr>
          <w:rFonts w:eastAsia="Times New Roman" w:cs="Times New Roman"/>
          <w:lang w:eastAsia="cs-CZ"/>
        </w:rPr>
        <w:t xml:space="preserve">Obchodní podmínky </w:t>
      </w:r>
      <w:r w:rsidR="00A5303E" w:rsidRPr="00A5303E">
        <w:rPr>
          <w:rFonts w:eastAsia="Times New Roman" w:cs="Times New Roman"/>
          <w:lang w:eastAsia="cs-CZ"/>
        </w:rPr>
        <w:t>01/2014</w:t>
      </w:r>
      <w:r w:rsidRPr="00A5303E">
        <w:rPr>
          <w:rFonts w:eastAsia="Times New Roman" w:cs="Times New Roman"/>
          <w:lang w:val="en-US" w:eastAsia="cs-CZ"/>
        </w:rPr>
        <w:t>,</w:t>
      </w:r>
    </w:p>
    <w:p w:rsidR="00F01FED" w:rsidRPr="00A5303E" w:rsidRDefault="00A5303E" w:rsidP="00A5303E">
      <w:pPr>
        <w:numPr>
          <w:ilvl w:val="0"/>
          <w:numId w:val="8"/>
        </w:numPr>
        <w:spacing w:after="0" w:line="240" w:lineRule="auto"/>
        <w:ind w:left="709" w:hanging="283"/>
        <w:rPr>
          <w:rFonts w:eastAsia="Times New Roman" w:cs="Times New Roman"/>
          <w:lang w:eastAsia="cs-CZ"/>
        </w:rPr>
      </w:pPr>
      <w:r w:rsidRPr="00A5303E">
        <w:rPr>
          <w:rFonts w:eastAsia="Times New Roman" w:cs="Times New Roman"/>
          <w:lang w:eastAsia="cs-CZ"/>
        </w:rPr>
        <w:t>DSP (Projekt stavby), schválená dne 20.4.2020, č. j. 25466/2020-SŽ-GŘ-O6-Hor</w:t>
      </w:r>
      <w:r w:rsidR="00F01FED" w:rsidRPr="00A5303E">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A5303E" w:rsidRDefault="00F01FED" w:rsidP="00F01FED">
      <w:pPr>
        <w:spacing w:after="0" w:line="240" w:lineRule="auto"/>
        <w:ind w:left="426"/>
        <w:rPr>
          <w:rFonts w:eastAsia="Times New Roman" w:cs="Times New Roman"/>
          <w:lang w:eastAsia="cs-CZ"/>
        </w:rPr>
      </w:pPr>
      <w:r w:rsidRPr="00A5303E">
        <w:rPr>
          <w:rFonts w:eastAsia="Times New Roman" w:cs="Times New Roman"/>
          <w:b/>
          <w:u w:val="single"/>
          <w:lang w:eastAsia="cs-CZ"/>
        </w:rPr>
        <w:t>Zahájení plnění:</w:t>
      </w:r>
      <w:r w:rsidRPr="00A5303E">
        <w:rPr>
          <w:rFonts w:eastAsia="Times New Roman" w:cs="Times New Roman"/>
          <w:lang w:eastAsia="cs-CZ"/>
        </w:rPr>
        <w:t xml:space="preserve"> 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A5303E" w:rsidRDefault="00A5303E" w:rsidP="00A5303E">
      <w:pPr>
        <w:spacing w:after="0" w:line="240" w:lineRule="auto"/>
        <w:ind w:left="426"/>
        <w:rPr>
          <w:rFonts w:cs="Arial"/>
        </w:rPr>
      </w:pPr>
      <w:r w:rsidRPr="00B730FA">
        <w:rPr>
          <w:rFonts w:cs="Arial"/>
          <w:b/>
        </w:rPr>
        <w:lastRenderedPageBreak/>
        <w:t xml:space="preserve">Činnost TPI </w:t>
      </w:r>
      <w:r>
        <w:rPr>
          <w:rFonts w:cs="Arial"/>
          <w:b/>
        </w:rPr>
        <w:t>bude probíhat</w:t>
      </w:r>
      <w:r w:rsidRPr="00B730FA">
        <w:rPr>
          <w:rFonts w:cs="Arial"/>
          <w:b/>
        </w:rPr>
        <w:t xml:space="preserve"> </w:t>
      </w:r>
      <w:r w:rsidRPr="00800766">
        <w:rPr>
          <w:rFonts w:cs="Arial"/>
          <w:b/>
        </w:rPr>
        <w:t xml:space="preserve">při realizaci </w:t>
      </w:r>
      <w:r w:rsidRPr="00B730FA">
        <w:rPr>
          <w:rFonts w:cs="Arial"/>
          <w:b/>
        </w:rPr>
        <w:t xml:space="preserve">stavby – zatím dle </w:t>
      </w:r>
      <w:r>
        <w:rPr>
          <w:rFonts w:cs="Arial"/>
          <w:b/>
        </w:rPr>
        <w:t>HMG</w:t>
      </w:r>
      <w:r w:rsidRPr="00B730FA">
        <w:rPr>
          <w:rFonts w:cs="Arial"/>
          <w:b/>
        </w:rPr>
        <w:t xml:space="preserve"> zadavatele</w:t>
      </w:r>
      <w:r w:rsidRPr="00800766">
        <w:rPr>
          <w:rFonts w:cs="Arial"/>
          <w:b/>
        </w:rPr>
        <w:t xml:space="preserve"> od </w:t>
      </w:r>
      <w:r>
        <w:rPr>
          <w:rFonts w:cs="Arial"/>
          <w:b/>
        </w:rPr>
        <w:t>konce srpna</w:t>
      </w:r>
      <w:r w:rsidRPr="00800766">
        <w:rPr>
          <w:rFonts w:cs="Arial"/>
          <w:b/>
        </w:rPr>
        <w:t xml:space="preserve"> 20</w:t>
      </w:r>
      <w:r>
        <w:rPr>
          <w:rFonts w:cs="Arial"/>
          <w:b/>
        </w:rPr>
        <w:t>20</w:t>
      </w:r>
      <w:r w:rsidRPr="00800766">
        <w:rPr>
          <w:rFonts w:cs="Arial"/>
          <w:b/>
        </w:rPr>
        <w:t xml:space="preserve"> do konce </w:t>
      </w:r>
      <w:r>
        <w:rPr>
          <w:rFonts w:cs="Arial"/>
          <w:b/>
        </w:rPr>
        <w:t>října 2024 (51 měsíců)</w:t>
      </w:r>
      <w:r w:rsidRPr="00800766">
        <w:rPr>
          <w:rFonts w:cs="Arial"/>
        </w:rPr>
        <w:t>.</w:t>
      </w:r>
      <w:r>
        <w:rPr>
          <w:rFonts w:cs="Arial"/>
        </w:rPr>
        <w:t xml:space="preserve"> </w:t>
      </w:r>
    </w:p>
    <w:p w:rsidR="00A5303E" w:rsidRPr="00F01FED" w:rsidRDefault="00A5303E" w:rsidP="00A5303E">
      <w:pPr>
        <w:spacing w:after="0" w:line="240" w:lineRule="auto"/>
        <w:ind w:left="426"/>
        <w:rPr>
          <w:rFonts w:eastAsia="Times New Roman" w:cs="Times New Roman"/>
          <w:b/>
          <w:lang w:eastAsia="cs-CZ"/>
        </w:rPr>
      </w:pPr>
      <w:r>
        <w:rPr>
          <w:rFonts w:cs="Arial"/>
        </w:rPr>
        <w:t>(později dle stavebníkem schváleného HMG zhotovitele stavby)</w:t>
      </w:r>
      <w:r>
        <w:rPr>
          <w:rFonts w:cs="Arial"/>
        </w:rPr>
        <w:br/>
      </w:r>
    </w:p>
    <w:p w:rsidR="00A5303E" w:rsidRDefault="00A5303E" w:rsidP="00A5303E">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A5303E" w:rsidRDefault="00A5303E" w:rsidP="00A5303E">
      <w:pPr>
        <w:spacing w:after="0" w:line="240" w:lineRule="auto"/>
        <w:ind w:left="426"/>
        <w:rPr>
          <w:rFonts w:eastAsia="Times New Roman" w:cs="Times New Roman"/>
          <w:b/>
          <w:u w:val="single"/>
          <w:lang w:eastAsia="cs-CZ"/>
        </w:rPr>
      </w:pPr>
    </w:p>
    <w:p w:rsidR="00A5303E" w:rsidRPr="00F01FED" w:rsidRDefault="00A5303E" w:rsidP="00A5303E">
      <w:pPr>
        <w:spacing w:after="0" w:line="240" w:lineRule="auto"/>
        <w:ind w:left="426"/>
        <w:rPr>
          <w:rFonts w:eastAsia="Times New Roman" w:cs="Times New Roman"/>
          <w:b/>
          <w:u w:val="single"/>
          <w:lang w:eastAsia="cs-CZ"/>
        </w:rPr>
      </w:pP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rsidR="00A5303E" w:rsidRPr="00F01FED" w:rsidRDefault="00A5303E" w:rsidP="00A5303E">
      <w:pPr>
        <w:spacing w:after="0" w:line="240" w:lineRule="auto"/>
        <w:ind w:left="426"/>
        <w:rPr>
          <w:rFonts w:eastAsia="Times New Roman" w:cs="Times New Roman"/>
          <w:b/>
          <w:lang w:eastAsia="cs-CZ"/>
        </w:rPr>
      </w:pPr>
    </w:p>
    <w:p w:rsidR="00A5303E" w:rsidRDefault="00A5303E" w:rsidP="00A5303E">
      <w:pPr>
        <w:spacing w:after="0" w:line="240" w:lineRule="auto"/>
        <w:ind w:left="426"/>
        <w:rPr>
          <w:rFonts w:eastAsia="Times New Roman" w:cs="Times New Roman"/>
          <w:b/>
          <w:u w:val="single"/>
          <w:lang w:eastAsia="cs-CZ"/>
        </w:rPr>
      </w:pPr>
    </w:p>
    <w:p w:rsidR="00A5303E" w:rsidRDefault="00A5303E" w:rsidP="00A5303E">
      <w:pPr>
        <w:spacing w:after="0" w:line="240" w:lineRule="auto"/>
        <w:ind w:left="426"/>
        <w:jc w:val="both"/>
        <w:rPr>
          <w:rFonts w:cs="Arial"/>
        </w:rPr>
      </w:pPr>
      <w:r w:rsidRPr="00605D3B">
        <w:rPr>
          <w:rFonts w:eastAsia="Times New Roman" w:cs="Arial"/>
          <w:b/>
          <w:u w:val="single"/>
          <w:lang w:eastAsia="cs-CZ"/>
        </w:rPr>
        <w:t>Fakturace</w:t>
      </w:r>
      <w:r>
        <w:rPr>
          <w:rFonts w:eastAsia="Times New Roman" w:cs="Arial"/>
          <w:lang w:eastAsia="cs-CZ"/>
        </w:rPr>
        <w:t xml:space="preserve"> </w:t>
      </w:r>
      <w:r w:rsidRPr="00605D3B">
        <w:rPr>
          <w:rFonts w:cs="Arial"/>
        </w:rPr>
        <w:t>-</w:t>
      </w:r>
      <w:r>
        <w:rPr>
          <w:rFonts w:cs="Arial"/>
        </w:rPr>
        <w:t xml:space="preserve"> m</w:t>
      </w:r>
      <w:r w:rsidRPr="00605D3B">
        <w:rPr>
          <w:rFonts w:cs="Arial"/>
        </w:rPr>
        <w:t>ěsíčně.</w:t>
      </w:r>
    </w:p>
    <w:p w:rsidR="00A5303E" w:rsidRDefault="00A5303E" w:rsidP="00A5303E">
      <w:pPr>
        <w:spacing w:after="0" w:line="240" w:lineRule="auto"/>
        <w:ind w:left="426"/>
        <w:jc w:val="both"/>
        <w:rPr>
          <w:rFonts w:cs="Arial"/>
        </w:rPr>
      </w:pPr>
    </w:p>
    <w:p w:rsidR="00A5303E" w:rsidRDefault="00A5303E" w:rsidP="00A5303E">
      <w:pPr>
        <w:spacing w:after="0" w:line="240" w:lineRule="auto"/>
        <w:ind w:left="426"/>
        <w:jc w:val="both"/>
        <w:rPr>
          <w:rFonts w:cs="Arial"/>
        </w:rPr>
      </w:pPr>
      <w:r w:rsidRPr="00CE61FF">
        <w:rPr>
          <w:rFonts w:cs="Arial"/>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rsidR="00A5303E" w:rsidRDefault="00A5303E" w:rsidP="00A5303E">
      <w:pPr>
        <w:spacing w:after="0" w:line="240" w:lineRule="auto"/>
        <w:ind w:left="426"/>
        <w:jc w:val="both"/>
        <w:rPr>
          <w:rFonts w:cs="Arial"/>
        </w:rPr>
      </w:pP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w:t>
      </w:r>
      <w:r w:rsidR="00A5303E">
        <w:rPr>
          <w:rFonts w:eastAsia="Times New Roman" w:cs="Times New Roman"/>
          <w:lang w:eastAsia="cs-CZ"/>
        </w:rPr>
        <w:t>hod, Nerudova 1, 779 00 Olomouc</w:t>
      </w:r>
    </w:p>
    <w:p w:rsidR="00F01FED" w:rsidRPr="00A5303E" w:rsidRDefault="00A5303E" w:rsidP="00A5303E">
      <w:pPr>
        <w:pStyle w:val="Odstavecseseznamem"/>
        <w:numPr>
          <w:ilvl w:val="0"/>
          <w:numId w:val="22"/>
        </w:numPr>
        <w:rPr>
          <w:rFonts w:eastAsia="Times New Roman" w:cs="Times New Roman"/>
          <w:lang w:eastAsia="cs-CZ"/>
        </w:rPr>
      </w:pPr>
      <w:r w:rsidRPr="00A5303E">
        <w:rPr>
          <w:rFonts w:eastAsia="Times New Roman" w:cs="Times New Roman"/>
          <w:lang w:eastAsia="cs-CZ"/>
        </w:rPr>
        <w:t>Je dáno místem plnění realizace stavby. V místě dle DSP a příslušných veřejnoprávních povolení (Modernizace železničního uzlu Pardubice)</w:t>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Jednotlivé prvky předmětu plnění dle bodu 4. této výzvy především ve formě fyzicky pořízeného výsledku (zpráva, vyjádření, stanovisko, protokol), budou předány objednateli:</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 xml:space="preserve">v tištěné listinné podobě vždy nejméně ve </w:t>
      </w:r>
      <w:r w:rsidRPr="00D11E98">
        <w:rPr>
          <w:rFonts w:eastAsia="Times New Roman" w:cs="Arial"/>
          <w:b/>
          <w:lang w:eastAsia="cs-CZ"/>
        </w:rPr>
        <w:t>2 vyhotoveních</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 xml:space="preserve">v digitální elektronické formě na vhodném elektronickém kompatibilním nosiči </w:t>
      </w:r>
      <w:r w:rsidRPr="00D11E98">
        <w:rPr>
          <w:rFonts w:eastAsia="Times New Roman" w:cs="Arial"/>
          <w:b/>
          <w:lang w:eastAsia="cs-CZ"/>
        </w:rPr>
        <w:t xml:space="preserve">v 1 vyhotovení </w:t>
      </w:r>
      <w:r w:rsidRPr="00D11E98">
        <w:rPr>
          <w:rFonts w:eastAsia="Times New Roman" w:cs="Arial"/>
          <w:lang w:eastAsia="cs-CZ"/>
        </w:rPr>
        <w:t>v dohodnutém editovatelném formátu (tzv. otevřená podoba)</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termíny dle dohody s TDS (nejpozději v souladu s bodem 4. této výzvy)</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Doklady, které budou dodávány TDS s měsíční periodicitou:</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Měsíční zpráva o realizaci stavby, která bude obsahovat kapitoly</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 xml:space="preserve">Souhrnné posouzení postupu realizace; </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Soulad se schváleným HMG stavby</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Fakturace stavby</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Plánované výkony a jejich porovnání se skutečností</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Posouzení rozsahu a kvality stavebních prací zhotovitele na jednotlivých SO/ PS stavby</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Sledování a řízení změn proti DPS</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Financování</w:t>
      </w:r>
    </w:p>
    <w:p w:rsidR="005A1E34" w:rsidRPr="00D11E98" w:rsidRDefault="005A1E34" w:rsidP="005A1E34">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w:t>
      </w:r>
      <w:r w:rsidRPr="00F01FED">
        <w:rPr>
          <w:rFonts w:eastAsia="Times New Roman" w:cs="Times New Roman"/>
          <w:lang w:eastAsia="cs-CZ"/>
        </w:rPr>
        <w:lastRenderedPageBreak/>
        <w:t>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5A1E34">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5A1E34" w:rsidRPr="005A1E34" w:rsidRDefault="005A1E34" w:rsidP="005A1E34">
      <w:pPr>
        <w:pStyle w:val="Odstavecseseznamem"/>
        <w:numPr>
          <w:ilvl w:val="3"/>
          <w:numId w:val="7"/>
        </w:numPr>
        <w:spacing w:after="0" w:line="240" w:lineRule="auto"/>
        <w:jc w:val="both"/>
        <w:rPr>
          <w:rFonts w:ascii="Calibri" w:eastAsia="Verdana" w:hAnsi="Calibri" w:cs="Calibri"/>
          <w:bCs/>
          <w:sz w:val="20"/>
          <w:szCs w:val="20"/>
        </w:rPr>
      </w:pPr>
      <w:r w:rsidRPr="005A1E34">
        <w:rPr>
          <w:rFonts w:ascii="Verdana" w:eastAsia="Verdana" w:hAnsi="Verdana" w:cs="Calibri"/>
          <w:bCs/>
        </w:rPr>
        <w:t>poradenská a konzultační činnost, zpracování odborných studií a posudků</w:t>
      </w:r>
    </w:p>
    <w:p w:rsidR="005A1E34" w:rsidRPr="00D11E98" w:rsidRDefault="005A1E34" w:rsidP="005A1E34">
      <w:pPr>
        <w:numPr>
          <w:ilvl w:val="0"/>
          <w:numId w:val="19"/>
        </w:numPr>
        <w:spacing w:after="0" w:line="240" w:lineRule="auto"/>
        <w:ind w:left="907"/>
        <w:jc w:val="both"/>
        <w:rPr>
          <w:rFonts w:eastAsia="Times New Roman" w:cs="Times New Roman"/>
          <w:lang w:eastAsia="cs-CZ"/>
        </w:rPr>
      </w:pPr>
      <w:r w:rsidRPr="00D11E98">
        <w:rPr>
          <w:rFonts w:ascii="Verdana" w:eastAsia="Times New Roman" w:hAnsi="Verdana" w:cs="Arial"/>
          <w:lang w:eastAsia="cs-CZ"/>
        </w:rPr>
        <w:t xml:space="preserve">osvědčení o autorizaci v rozsahu dle §5 odst. 3 písm. b) </w:t>
      </w:r>
      <w:r w:rsidR="000443F0">
        <w:rPr>
          <w:rFonts w:ascii="Verdana" w:eastAsia="Times New Roman" w:hAnsi="Verdana" w:cs="Arial"/>
          <w:lang w:eastAsia="cs-CZ"/>
        </w:rPr>
        <w:t xml:space="preserve">dopravní stavby </w:t>
      </w:r>
      <w:r w:rsidRPr="00D11E98">
        <w:rPr>
          <w:rFonts w:ascii="Verdana" w:eastAsia="Times New Roman" w:hAnsi="Verdana" w:cs="Arial"/>
          <w:lang w:eastAsia="cs-CZ"/>
        </w:rPr>
        <w:t>zákona č. 360/1992 Sb., o výkonu povolání autorizovaných architektů a o výkonu povolání autorizovaných inženýrů a techniků činných ve výstavbě, ve znění pozdějších předpisů;</w:t>
      </w:r>
    </w:p>
    <w:p w:rsidR="005A1E34" w:rsidRPr="005A1E34" w:rsidRDefault="005A1E34" w:rsidP="005A1E34">
      <w:pPr>
        <w:spacing w:after="0" w:line="240" w:lineRule="auto"/>
        <w:jc w:val="both"/>
        <w:rPr>
          <w:rFonts w:ascii="Calibri" w:eastAsia="Verdana" w:hAnsi="Calibri" w:cs="Calibri"/>
          <w:bCs/>
          <w:sz w:val="20"/>
          <w:szCs w:val="20"/>
        </w:rPr>
      </w:pP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5A1E34"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5A1E34">
        <w:rPr>
          <w:rFonts w:eastAsia="Times New Roman" w:cs="Times New Roman"/>
          <w:lang w:eastAsia="cs-CZ"/>
        </w:rPr>
        <w:t>K prokázání splnění technické kvalifikace předloží dodavatel zadavateli následující doklady:</w:t>
      </w:r>
    </w:p>
    <w:p w:rsidR="00F01FED" w:rsidRPr="00F01FED" w:rsidRDefault="00F01FED" w:rsidP="00F01FED">
      <w:pPr>
        <w:spacing w:after="0" w:line="240" w:lineRule="auto"/>
        <w:ind w:left="426"/>
        <w:jc w:val="both"/>
        <w:rPr>
          <w:rFonts w:eastAsia="Times New Roman" w:cs="Times New Roman"/>
          <w:lang w:eastAsia="cs-CZ"/>
        </w:rPr>
      </w:pPr>
    </w:p>
    <w:p w:rsidR="005A1E34" w:rsidRDefault="005A1E34" w:rsidP="005A1E34">
      <w:pPr>
        <w:ind w:left="426"/>
      </w:pPr>
      <w:r w:rsidRPr="00E63E03">
        <w:rPr>
          <w:b/>
        </w:rPr>
        <w:t xml:space="preserve">Seznam </w:t>
      </w:r>
      <w:r>
        <w:rPr>
          <w:b/>
        </w:rPr>
        <w:t xml:space="preserve">významných </w:t>
      </w:r>
      <w:r w:rsidRPr="00E63E03">
        <w:rPr>
          <w:b/>
        </w:rPr>
        <w:t>služeb</w:t>
      </w:r>
      <w:r w:rsidRPr="00E63E03">
        <w:t xml:space="preserve"> poskytnutých dodavatelem </w:t>
      </w:r>
      <w:r w:rsidRPr="00E63E03">
        <w:rPr>
          <w:b/>
        </w:rPr>
        <w:t>v posledních 3 letech</w:t>
      </w:r>
      <w:r>
        <w:t xml:space="preserve"> a to alespoň </w:t>
      </w:r>
      <w:r w:rsidRPr="00E63E03">
        <w:rPr>
          <w:b/>
        </w:rPr>
        <w:t>na 2 stavbách železničních drah</w:t>
      </w:r>
      <w:r>
        <w:t>.</w:t>
      </w:r>
    </w:p>
    <w:p w:rsidR="005A1E34" w:rsidRDefault="005A1E34" w:rsidP="005A1E34">
      <w:pPr>
        <w:ind w:left="426"/>
        <w:rPr>
          <w:sz w:val="22"/>
          <w:szCs w:val="22"/>
        </w:rPr>
      </w:pPr>
      <w:r w:rsidRPr="00E63E03">
        <w:t xml:space="preserve">Tímto seznamem </w:t>
      </w:r>
      <w:r>
        <w:t>zhotovitel</w:t>
      </w:r>
      <w:r w:rsidRPr="00E63E03">
        <w:t xml:space="preserve"> prokáže, že v posledních třech letech před zahájením zadávacího řízení poskytl služby technické pomoci investorovi nebo jiné obdobné činnosti, které svým obsahem odpovídají předmětu veřejné zakázky, jak je vymezen v článku 4</w:t>
      </w:r>
      <w:r>
        <w:t>.</w:t>
      </w:r>
      <w:r w:rsidRPr="00E63E03">
        <w:t xml:space="preserve"> této </w:t>
      </w:r>
      <w:r>
        <w:t>v</w:t>
      </w:r>
      <w:r w:rsidRPr="00E63E03">
        <w:t>ýzvy</w:t>
      </w:r>
      <w:r>
        <w:t xml:space="preserve">, nejméně </w:t>
      </w:r>
      <w:r w:rsidRPr="00E63E03">
        <w:t>na dvou stavbách železničních drah</w:t>
      </w:r>
      <w:r>
        <w:rPr>
          <w:sz w:val="22"/>
          <w:szCs w:val="22"/>
        </w:rPr>
        <w:t>.</w:t>
      </w:r>
    </w:p>
    <w:p w:rsidR="005A1E34" w:rsidRDefault="005A1E34" w:rsidP="005A1E34">
      <w:pPr>
        <w:spacing w:after="0" w:line="240" w:lineRule="auto"/>
        <w:ind w:left="426"/>
        <w:jc w:val="both"/>
      </w:pPr>
      <w:r w:rsidRPr="00E63E03">
        <w:t xml:space="preserve">Předloženým seznamem poskytnutých služeb přitom musí dodavatel prokázat, že objem jím poskytnutých služeb v posledních </w:t>
      </w:r>
      <w:r>
        <w:rPr>
          <w:b/>
        </w:rPr>
        <w:t>3</w:t>
      </w:r>
      <w:r w:rsidRPr="00E63E03">
        <w:t xml:space="preserve"> letech činí v souhrnu, včetně služeb, které případně poskytoval jako společník společnosti nebo poddodavatel, </w:t>
      </w:r>
      <w:r w:rsidRPr="004A1BE9">
        <w:t xml:space="preserve">nejméně </w:t>
      </w:r>
      <w:r w:rsidR="000A5156">
        <w:rPr>
          <w:rFonts w:cs="Arial"/>
          <w:b/>
        </w:rPr>
        <w:t>4</w:t>
      </w:r>
      <w:r w:rsidRPr="00EA65BD">
        <w:rPr>
          <w:rFonts w:cs="Arial"/>
          <w:b/>
        </w:rPr>
        <w:t> </w:t>
      </w:r>
      <w:r w:rsidR="000A5156">
        <w:rPr>
          <w:rFonts w:cs="Arial"/>
          <w:b/>
        </w:rPr>
        <w:t>59</w:t>
      </w:r>
      <w:r w:rsidRPr="00EA65BD">
        <w:rPr>
          <w:rFonts w:cs="Arial"/>
          <w:b/>
        </w:rPr>
        <w:t>0 000</w:t>
      </w:r>
      <w:r w:rsidRPr="004A1BE9">
        <w:rPr>
          <w:rFonts w:cs="Arial"/>
        </w:rPr>
        <w:t> </w:t>
      </w:r>
      <w:r w:rsidRPr="005D2DE1">
        <w:rPr>
          <w:b/>
        </w:rPr>
        <w:t>CZK bez DPH</w:t>
      </w:r>
      <w:r>
        <w:t>.</w:t>
      </w:r>
      <w:r w:rsidRPr="00E63E03">
        <w:t xml:space="preserve"> Alespoň jedna z jím poskytnutých služeb uvedených v seznamu přitom musí mít hodnotu alespoň </w:t>
      </w:r>
      <w:r w:rsidRPr="00EA65BD">
        <w:rPr>
          <w:b/>
        </w:rPr>
        <w:t>1 </w:t>
      </w:r>
      <w:r w:rsidR="000A5156">
        <w:rPr>
          <w:b/>
        </w:rPr>
        <w:t>53</w:t>
      </w:r>
      <w:r w:rsidRPr="00EA65BD">
        <w:rPr>
          <w:b/>
        </w:rPr>
        <w:t>0 000</w:t>
      </w:r>
      <w:r>
        <w:t> </w:t>
      </w:r>
      <w:r w:rsidRPr="005D2DE1">
        <w:rPr>
          <w:b/>
        </w:rPr>
        <w:t>CZK bez DPH</w:t>
      </w:r>
      <w:r w:rsidRPr="00E63E03">
        <w:t>.</w:t>
      </w:r>
    </w:p>
    <w:p w:rsidR="005A1E34" w:rsidRDefault="005A1E34" w:rsidP="005A1E34">
      <w:pPr>
        <w:spacing w:after="0" w:line="240" w:lineRule="auto"/>
        <w:ind w:left="426"/>
        <w:jc w:val="both"/>
      </w:pPr>
    </w:p>
    <w:p w:rsidR="005A1E34" w:rsidRPr="00605D3B" w:rsidRDefault="005A1E34" w:rsidP="005A1E34">
      <w:pPr>
        <w:spacing w:after="0" w:line="240" w:lineRule="auto"/>
        <w:ind w:left="426"/>
        <w:jc w:val="both"/>
        <w:rPr>
          <w:rFonts w:eastAsia="Times New Roman" w:cs="Times New Roman"/>
          <w:b/>
          <w:lang w:eastAsia="cs-CZ"/>
        </w:rPr>
      </w:pPr>
      <w:r w:rsidRPr="00605D3B">
        <w:rPr>
          <w:rFonts w:eastAsia="Times New Roman" w:cs="Times New Roman"/>
          <w:b/>
          <w:lang w:eastAsia="cs-CZ"/>
        </w:rPr>
        <w:t>Zadavatel požaduje předložení seznamu personálu dodavatele:</w:t>
      </w:r>
    </w:p>
    <w:p w:rsidR="005A1E34" w:rsidRDefault="005A1E34" w:rsidP="005A1E34">
      <w:pPr>
        <w:spacing w:after="0" w:line="240" w:lineRule="auto"/>
        <w:ind w:left="426"/>
        <w:jc w:val="both"/>
        <w:rPr>
          <w:rFonts w:eastAsia="Times New Roman" w:cs="Times New Roman"/>
          <w:b/>
          <w:lang w:eastAsia="cs-CZ"/>
        </w:rPr>
      </w:pPr>
    </w:p>
    <w:p w:rsidR="005A1E34" w:rsidRPr="00801C95" w:rsidRDefault="005A1E34" w:rsidP="005A1E34">
      <w:pPr>
        <w:pStyle w:val="Odstavecseseznamem"/>
        <w:numPr>
          <w:ilvl w:val="0"/>
          <w:numId w:val="47"/>
        </w:numPr>
        <w:spacing w:before="120" w:after="0" w:line="240" w:lineRule="auto"/>
        <w:ind w:left="567" w:right="23"/>
        <w:rPr>
          <w:b/>
          <w:color w:val="000000"/>
        </w:rPr>
      </w:pPr>
      <w:r w:rsidRPr="00801C95">
        <w:rPr>
          <w:b/>
          <w:color w:val="000000"/>
        </w:rPr>
        <w:t>Vedoucí TPI</w:t>
      </w:r>
    </w:p>
    <w:p w:rsidR="005A1E34" w:rsidRDefault="005A1E34" w:rsidP="005A1E34">
      <w:pPr>
        <w:pStyle w:val="Odstavecseseznamem"/>
        <w:numPr>
          <w:ilvl w:val="1"/>
          <w:numId w:val="47"/>
        </w:numPr>
        <w:spacing w:before="120" w:after="0" w:line="240" w:lineRule="auto"/>
        <w:ind w:left="993" w:right="23" w:hanging="284"/>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roky</w:t>
      </w:r>
    </w:p>
    <w:p w:rsidR="005A1E34" w:rsidRPr="00CA5C8B" w:rsidRDefault="005A1E34" w:rsidP="005A1E34">
      <w:pPr>
        <w:pStyle w:val="Odstavecseseznamem"/>
        <w:numPr>
          <w:ilvl w:val="1"/>
          <w:numId w:val="47"/>
        </w:numPr>
        <w:spacing w:before="120" w:after="0" w:line="240" w:lineRule="auto"/>
        <w:ind w:left="993" w:right="23" w:hanging="284"/>
        <w:rPr>
          <w:color w:val="000000"/>
        </w:rPr>
      </w:pPr>
      <w:r>
        <w:rPr>
          <w:color w:val="000000"/>
        </w:rPr>
        <w:t>doložit autorizaci ve stupni dle odstavce (1) a odstavce (3)b), §5 zákona č. 360</w:t>
      </w:r>
      <w:r w:rsidRPr="00584D61">
        <w:rPr>
          <w:color w:val="000000"/>
        </w:rPr>
        <w:t xml:space="preserve"> /1992 Sb.</w:t>
      </w:r>
      <w:r>
        <w:rPr>
          <w:color w:val="000000"/>
        </w:rPr>
        <w:t xml:space="preserve">, </w:t>
      </w:r>
      <w:r w:rsidRPr="00584D61">
        <w:rPr>
          <w:color w:val="000000"/>
        </w:rPr>
        <w:t>výkon činnosti autorizovaných osob</w:t>
      </w:r>
      <w:r>
        <w:rPr>
          <w:color w:val="000000"/>
        </w:rPr>
        <w:t xml:space="preserve"> (v oboru </w:t>
      </w:r>
      <w:r>
        <w:t>dopravní stavby)</w:t>
      </w:r>
    </w:p>
    <w:p w:rsidR="00CA5C8B" w:rsidRPr="00D11E98" w:rsidRDefault="00CA5C8B" w:rsidP="00CA5C8B">
      <w:pPr>
        <w:pStyle w:val="Odstavecseseznamem"/>
        <w:spacing w:before="120" w:after="0" w:line="240" w:lineRule="auto"/>
        <w:ind w:left="993" w:right="23"/>
        <w:rPr>
          <w:color w:val="000000"/>
        </w:rPr>
      </w:pPr>
    </w:p>
    <w:p w:rsidR="005A1E34" w:rsidRPr="00584D61" w:rsidRDefault="005A1E34" w:rsidP="005A1E34">
      <w:pPr>
        <w:pStyle w:val="Odstavecseseznamem"/>
        <w:spacing w:before="120" w:after="0" w:line="240" w:lineRule="auto"/>
        <w:ind w:left="993" w:right="23"/>
        <w:rPr>
          <w:color w:val="000000"/>
        </w:rPr>
      </w:pPr>
    </w:p>
    <w:p w:rsidR="005A1E34" w:rsidRPr="00801C95" w:rsidRDefault="005A1E34" w:rsidP="005A1E34">
      <w:pPr>
        <w:pStyle w:val="Odstavecseseznamem"/>
        <w:numPr>
          <w:ilvl w:val="0"/>
          <w:numId w:val="47"/>
        </w:numPr>
        <w:spacing w:before="120" w:after="0" w:line="240" w:lineRule="auto"/>
        <w:ind w:left="567" w:right="23"/>
        <w:rPr>
          <w:rFonts w:cs="Arial"/>
          <w:b/>
          <w:i/>
        </w:rPr>
      </w:pPr>
      <w:r w:rsidRPr="00801C95">
        <w:rPr>
          <w:b/>
          <w:color w:val="000000"/>
        </w:rPr>
        <w:lastRenderedPageBreak/>
        <w:t>Zástupce vedoucího TPI</w:t>
      </w:r>
    </w:p>
    <w:p w:rsidR="008A6B07" w:rsidRPr="008A6B07" w:rsidRDefault="005A1E34" w:rsidP="008A6B07">
      <w:pPr>
        <w:pStyle w:val="Odstavecseseznamem"/>
        <w:numPr>
          <w:ilvl w:val="1"/>
          <w:numId w:val="47"/>
        </w:numPr>
        <w:spacing w:before="120" w:after="0" w:line="240" w:lineRule="auto"/>
        <w:ind w:left="993" w:right="23" w:hanging="284"/>
        <w:rPr>
          <w:rFonts w:cs="Arial"/>
          <w:i/>
        </w:rPr>
      </w:pPr>
      <w:r>
        <w:rPr>
          <w:color w:val="000000"/>
        </w:rPr>
        <w:t xml:space="preserve">doložit </w:t>
      </w:r>
      <w:r w:rsidRPr="00C83FAB">
        <w:rPr>
          <w:color w:val="000000"/>
        </w:rPr>
        <w:t>praxi ve v</w:t>
      </w:r>
      <w:r>
        <w:rPr>
          <w:color w:val="000000"/>
        </w:rPr>
        <w:t>ýkonu činnosti TPI</w:t>
      </w:r>
      <w:r w:rsidRPr="00C83FAB">
        <w:rPr>
          <w:color w:val="000000"/>
        </w:rPr>
        <w:t xml:space="preserve"> na</w:t>
      </w:r>
      <w:r>
        <w:rPr>
          <w:color w:val="000000"/>
        </w:rPr>
        <w:t xml:space="preserve"> železničních stavbách minimálně </w:t>
      </w:r>
      <w:r w:rsidRPr="00584D61">
        <w:rPr>
          <w:color w:val="000000"/>
        </w:rPr>
        <w:t>2 roky</w:t>
      </w:r>
    </w:p>
    <w:p w:rsidR="00F01FED" w:rsidRPr="008A6B07" w:rsidRDefault="008A6B07" w:rsidP="008A6B07">
      <w:pPr>
        <w:pStyle w:val="Odstavecseseznamem"/>
        <w:numPr>
          <w:ilvl w:val="1"/>
          <w:numId w:val="47"/>
        </w:numPr>
        <w:spacing w:before="120" w:after="0" w:line="240" w:lineRule="auto"/>
        <w:ind w:left="993" w:right="23" w:hanging="284"/>
        <w:rPr>
          <w:rFonts w:cs="Arial"/>
          <w:i/>
        </w:rPr>
      </w:pPr>
      <w:r>
        <w:rPr>
          <w:color w:val="000000"/>
        </w:rPr>
        <w:t>doložit autorizaci</w:t>
      </w:r>
      <w:r w:rsidR="005A1E34" w:rsidRPr="008A6B07">
        <w:rPr>
          <w:color w:val="000000"/>
        </w:rPr>
        <w:t xml:space="preserve"> minimálně ve stupni dle odstavce (2) „technik v některé z oborů podle odstavce (3), písmeno </w:t>
      </w:r>
      <w:r w:rsidR="00CA5C8B">
        <w:rPr>
          <w:color w:val="000000"/>
        </w:rPr>
        <w:t xml:space="preserve">b), </w:t>
      </w:r>
      <w:r w:rsidR="005A1E34" w:rsidRPr="008A6B07">
        <w:rPr>
          <w:color w:val="000000"/>
        </w:rPr>
        <w:t>§5 zákona č. 360 /1992 Sb., výkon činnosti autorizovaných osob</w:t>
      </w:r>
      <w:r w:rsidR="00F01FED" w:rsidRPr="008A6B07">
        <w:rPr>
          <w:rFonts w:eastAsia="Times New Roman" w:cs="Times New Roman"/>
          <w:b/>
          <w:lang w:eastAsia="cs-CZ"/>
        </w:rPr>
        <w:fldChar w:fldCharType="begin">
          <w:ffData>
            <w:name w:val="Text1"/>
            <w:enabled/>
            <w:calcOnExit w:val="0"/>
            <w:textInput>
              <w:type w:val="date"/>
              <w:format w:val="d.M.yyyy"/>
            </w:textInput>
          </w:ffData>
        </w:fldChar>
      </w:r>
      <w:r w:rsidR="00F01FED" w:rsidRPr="008A6B07">
        <w:rPr>
          <w:rFonts w:eastAsia="Times New Roman" w:cs="Times New Roman"/>
          <w:b/>
          <w:lang w:eastAsia="cs-CZ"/>
        </w:rPr>
        <w:instrText xml:space="preserve"> FORMTEXT </w:instrText>
      </w:r>
      <w:r w:rsidR="00F01FED" w:rsidRPr="008A6B07">
        <w:rPr>
          <w:rFonts w:eastAsia="Times New Roman" w:cs="Times New Roman"/>
          <w:b/>
          <w:lang w:eastAsia="cs-CZ"/>
        </w:rPr>
      </w:r>
      <w:r w:rsidR="00F01FED" w:rsidRPr="008A6B07">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8A6B07">
        <w:rPr>
          <w:rFonts w:eastAsia="Times New Roman" w:cs="Times New Roman"/>
          <w:b/>
          <w:lang w:eastAsia="cs-CZ"/>
        </w:rPr>
        <w:fldChar w:fldCharType="end"/>
      </w:r>
    </w:p>
    <w:p w:rsidR="00F01FED" w:rsidRPr="00F01FED" w:rsidRDefault="00F01FED" w:rsidP="005A1E34">
      <w:pPr>
        <w:spacing w:after="0" w:line="240" w:lineRule="auto"/>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0A515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0A5156" w:rsidRPr="00F01FED" w:rsidRDefault="000A5156" w:rsidP="000A5156">
      <w:pPr>
        <w:spacing w:after="0" w:line="240" w:lineRule="auto"/>
        <w:ind w:left="502"/>
        <w:rPr>
          <w:rFonts w:eastAsia="Times New Roman" w:cs="Times New Roman"/>
          <w:b/>
          <w:u w:val="single"/>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0A5156"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0A5156">
        <w:rPr>
          <w:rFonts w:eastAsia="Times New Roman" w:cs="Times New Roman"/>
          <w:lang w:eastAsia="cs-CZ"/>
        </w:rPr>
        <w:t>uvedená 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1F57D7">
        <w:rPr>
          <w:rFonts w:eastAsia="Times New Roman" w:cs="Arial"/>
          <w:b/>
          <w:lang w:eastAsia="cs-CZ"/>
        </w:rPr>
        <w:t>27</w:t>
      </w:r>
      <w:r w:rsidR="000A5156" w:rsidRPr="000A5156">
        <w:rPr>
          <w:rFonts w:eastAsia="Times New Roman" w:cs="Arial"/>
          <w:b/>
          <w:lang w:eastAsia="cs-CZ"/>
        </w:rPr>
        <w:t>.8.2020</w:t>
      </w:r>
      <w:r w:rsidRPr="000A5156">
        <w:rPr>
          <w:rFonts w:eastAsia="Times New Roman" w:cs="Times New Roman"/>
          <w:b/>
          <w:lang w:eastAsia="cs-CZ"/>
        </w:rPr>
        <w:t xml:space="preserve"> do </w:t>
      </w:r>
      <w:r w:rsidR="001F57D7">
        <w:rPr>
          <w:rFonts w:eastAsia="Times New Roman" w:cs="Arial"/>
          <w:b/>
          <w:lang w:eastAsia="cs-CZ"/>
        </w:rPr>
        <w:t>10:15</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0A5156" w:rsidRDefault="00F01FED" w:rsidP="00F01FED">
      <w:pPr>
        <w:numPr>
          <w:ilvl w:val="0"/>
          <w:numId w:val="14"/>
        </w:numPr>
        <w:spacing w:after="0" w:line="240" w:lineRule="auto"/>
        <w:ind w:left="1134" w:hanging="425"/>
        <w:jc w:val="both"/>
        <w:rPr>
          <w:rFonts w:eastAsia="Times New Roman" w:cs="Times New Roman"/>
          <w:lang w:eastAsia="cs-CZ"/>
        </w:rPr>
      </w:pPr>
      <w:r w:rsidRPr="000A5156">
        <w:rPr>
          <w:rFonts w:eastAsia="Times New Roman" w:cs="Times New Roman"/>
          <w:lang w:eastAsia="cs-CZ"/>
        </w:rPr>
        <w:t>všeobecné informace o dodavateli (příloha č. 1 Výzvy)</w:t>
      </w:r>
    </w:p>
    <w:p w:rsidR="00F01FED" w:rsidRPr="000A5156" w:rsidRDefault="00F01FED" w:rsidP="00F01FED">
      <w:pPr>
        <w:numPr>
          <w:ilvl w:val="0"/>
          <w:numId w:val="14"/>
        </w:numPr>
        <w:spacing w:after="0" w:line="240" w:lineRule="auto"/>
        <w:ind w:hanging="437"/>
        <w:jc w:val="both"/>
        <w:rPr>
          <w:rFonts w:eastAsia="Times New Roman" w:cs="Times New Roman"/>
          <w:lang w:eastAsia="cs-CZ"/>
        </w:rPr>
      </w:pPr>
      <w:r w:rsidRPr="000A5156">
        <w:rPr>
          <w:rFonts w:eastAsia="Times New Roman" w:cs="Times New Roman"/>
          <w:lang w:eastAsia="cs-CZ"/>
        </w:rPr>
        <w:t>návrh smlouvy o dílo,</w:t>
      </w:r>
    </w:p>
    <w:p w:rsidR="00F01FED" w:rsidRPr="000A5156" w:rsidRDefault="00F01FED" w:rsidP="00F01FED">
      <w:pPr>
        <w:numPr>
          <w:ilvl w:val="0"/>
          <w:numId w:val="14"/>
        </w:numPr>
        <w:spacing w:after="0" w:line="240" w:lineRule="auto"/>
        <w:ind w:hanging="437"/>
        <w:jc w:val="both"/>
        <w:rPr>
          <w:rFonts w:eastAsia="Times New Roman" w:cs="Times New Roman"/>
          <w:lang w:eastAsia="cs-CZ"/>
        </w:rPr>
      </w:pPr>
      <w:r w:rsidRPr="000A5156">
        <w:rPr>
          <w:rFonts w:eastAsia="Times New Roman" w:cs="Times New Roman"/>
          <w:lang w:eastAsia="cs-CZ"/>
        </w:rPr>
        <w:t>plná moc či pověření, je-li tohoto dokumentu třeba,</w:t>
      </w:r>
    </w:p>
    <w:p w:rsidR="00F01FED" w:rsidRPr="000A5156" w:rsidRDefault="00F01FED" w:rsidP="00F01FED">
      <w:pPr>
        <w:numPr>
          <w:ilvl w:val="0"/>
          <w:numId w:val="14"/>
        </w:numPr>
        <w:spacing w:after="0" w:line="240" w:lineRule="auto"/>
        <w:ind w:hanging="437"/>
        <w:jc w:val="both"/>
        <w:rPr>
          <w:rFonts w:eastAsia="Times New Roman" w:cs="Times New Roman"/>
          <w:lang w:eastAsia="cs-CZ"/>
        </w:rPr>
      </w:pPr>
      <w:r w:rsidRPr="000A5156">
        <w:rPr>
          <w:rFonts w:eastAsia="Times New Roman" w:cs="Times New Roman"/>
          <w:lang w:eastAsia="cs-CZ"/>
        </w:rPr>
        <w:t>cenová kalkulace,</w:t>
      </w:r>
    </w:p>
    <w:p w:rsidR="00F01FED" w:rsidRPr="000A5156" w:rsidRDefault="00F01FED" w:rsidP="00F01FED">
      <w:pPr>
        <w:numPr>
          <w:ilvl w:val="0"/>
          <w:numId w:val="14"/>
        </w:numPr>
        <w:spacing w:after="0" w:line="240" w:lineRule="auto"/>
        <w:ind w:hanging="437"/>
        <w:jc w:val="both"/>
        <w:rPr>
          <w:rFonts w:eastAsia="Times New Roman" w:cs="Times New Roman"/>
          <w:lang w:eastAsia="cs-CZ"/>
        </w:rPr>
      </w:pPr>
      <w:r w:rsidRPr="000A5156">
        <w:rPr>
          <w:rFonts w:eastAsia="Times New Roman" w:cs="Times New Roman"/>
          <w:lang w:eastAsia="cs-CZ"/>
        </w:rPr>
        <w:t>doklady o prokázání splnění základní způsobilosti (příloha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0A5156">
        <w:rPr>
          <w:rFonts w:eastAsia="Times New Roman" w:cs="Times New Roman"/>
          <w:lang w:eastAsia="cs-CZ"/>
        </w:rPr>
        <w:t xml:space="preserve">součást 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783CDF" w:rsidRDefault="00F01FED" w:rsidP="00783CDF">
      <w:pPr>
        <w:autoSpaceDE w:val="0"/>
        <w:autoSpaceDN w:val="0"/>
        <w:spacing w:after="0" w:line="240" w:lineRule="auto"/>
        <w:ind w:left="426" w:hanging="426"/>
        <w:jc w:val="both"/>
        <w:rPr>
          <w:rFonts w:eastAsia="Times New Roman" w:cs="Times New Roman"/>
          <w:i/>
          <w:color w:val="FF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783CDF">
        <w:rPr>
          <w:rFonts w:eastAsia="Calibri" w:cs="Times New Roman"/>
          <w:lang w:eastAsia="cs-CZ"/>
        </w:rPr>
        <w:t xml:space="preserve">bude v čl. 7.1 závazného vzoru smlouvy uvedena </w:t>
      </w:r>
      <w:r w:rsidRPr="00F01FED">
        <w:rPr>
          <w:rFonts w:eastAsia="Calibri" w:cs="Times New Roman"/>
          <w:lang w:eastAsia="cs-CZ"/>
        </w:rPr>
        <w:t xml:space="preserve">v Kč bez DPH </w:t>
      </w:r>
      <w:r w:rsidRPr="00783CDF">
        <w:rPr>
          <w:rFonts w:eastAsia="Calibri" w:cs="Times New Roman"/>
          <w:lang w:eastAsia="cs-CZ"/>
        </w:rPr>
        <w:t xml:space="preserve">zaokrouhlená na dvě desetinná místa </w:t>
      </w:r>
      <w:r w:rsidR="00783CDF" w:rsidRPr="00783CDF">
        <w:rPr>
          <w:rFonts w:eastAsia="Calibri" w:cs="Times New Roman"/>
          <w:lang w:eastAsia="cs-CZ"/>
        </w:rPr>
        <w:t>jako cena celková.</w:t>
      </w:r>
    </w:p>
    <w:p w:rsidR="00F01FED" w:rsidRPr="00783CDF" w:rsidRDefault="00F01FED" w:rsidP="00F01FED">
      <w:pPr>
        <w:autoSpaceDE w:val="0"/>
        <w:autoSpaceDN w:val="0"/>
        <w:spacing w:after="0" w:line="240" w:lineRule="auto"/>
        <w:ind w:left="426" w:hanging="426"/>
        <w:jc w:val="both"/>
        <w:rPr>
          <w:rFonts w:eastAsia="Calibri" w:cs="Times New Roman"/>
          <w:lang w:eastAsia="cs-CZ"/>
        </w:rPr>
      </w:pPr>
    </w:p>
    <w:p w:rsidR="00F01FED" w:rsidRPr="00783CDF" w:rsidRDefault="00F01FED" w:rsidP="00783CDF">
      <w:pPr>
        <w:spacing w:after="0" w:line="240" w:lineRule="auto"/>
        <w:ind w:left="1287"/>
        <w:jc w:val="both"/>
        <w:rPr>
          <w:rFonts w:eastAsia="Times New Roman" w:cs="Times New Roman"/>
          <w:lang w:eastAsia="cs-CZ"/>
        </w:rPr>
      </w:pPr>
      <w:r w:rsidRPr="00783CDF">
        <w:rPr>
          <w:rFonts w:eastAsia="Times New Roman" w:cs="Times New Roman"/>
          <w:b/>
          <w:lang w:eastAsia="cs-CZ"/>
        </w:rPr>
        <w:t xml:space="preserve">Celková cena Díla bez DPH: </w:t>
      </w:r>
      <w:r w:rsidRPr="00783CDF">
        <w:rPr>
          <w:rFonts w:eastAsia="Times New Roman" w:cs="Times New Roman"/>
          <w:b/>
          <w:lang w:eastAsia="cs-CZ"/>
        </w:rPr>
        <w:fldChar w:fldCharType="begin">
          <w:ffData>
            <w:name w:val="Text1"/>
            <w:enabled/>
            <w:calcOnExit w:val="0"/>
            <w:textInput>
              <w:type w:val="date"/>
              <w:format w:val="d.M.yyyy"/>
            </w:textInput>
          </w:ffData>
        </w:fldChar>
      </w:r>
      <w:r w:rsidRPr="00783CDF">
        <w:rPr>
          <w:rFonts w:eastAsia="Times New Roman" w:cs="Times New Roman"/>
          <w:b/>
          <w:lang w:eastAsia="cs-CZ"/>
        </w:rPr>
        <w:instrText xml:space="preserve"> FORMTEXT </w:instrText>
      </w:r>
      <w:r w:rsidRPr="00783CDF">
        <w:rPr>
          <w:rFonts w:eastAsia="Times New Roman" w:cs="Times New Roman"/>
          <w:b/>
          <w:lang w:eastAsia="cs-CZ"/>
        </w:rPr>
      </w:r>
      <w:r w:rsidRPr="00783CDF">
        <w:rPr>
          <w:rFonts w:eastAsia="Times New Roman" w:cs="Times New Roman"/>
          <w:b/>
          <w:lang w:eastAsia="cs-CZ"/>
        </w:rPr>
        <w:fldChar w:fldCharType="separate"/>
      </w:r>
      <w:r w:rsidRPr="00783CDF">
        <w:rPr>
          <w:rFonts w:eastAsia="Times New Roman" w:cs="Times New Roman"/>
          <w:b/>
          <w:lang w:eastAsia="cs-CZ"/>
        </w:rPr>
        <w:t> </w:t>
      </w:r>
      <w:r w:rsidRPr="00783CDF">
        <w:rPr>
          <w:rFonts w:eastAsia="Times New Roman" w:cs="Times New Roman"/>
          <w:b/>
          <w:lang w:eastAsia="cs-CZ"/>
        </w:rPr>
        <w:t> </w:t>
      </w:r>
      <w:r w:rsidRPr="00783CDF">
        <w:rPr>
          <w:rFonts w:eastAsia="Times New Roman" w:cs="Times New Roman"/>
          <w:b/>
          <w:lang w:eastAsia="cs-CZ"/>
        </w:rPr>
        <w:t> </w:t>
      </w:r>
      <w:r w:rsidRPr="00783CDF">
        <w:rPr>
          <w:rFonts w:eastAsia="Times New Roman" w:cs="Times New Roman"/>
          <w:b/>
          <w:lang w:eastAsia="cs-CZ"/>
        </w:rPr>
        <w:t> </w:t>
      </w:r>
      <w:r w:rsidRPr="00783CDF">
        <w:rPr>
          <w:rFonts w:eastAsia="Times New Roman" w:cs="Times New Roman"/>
          <w:b/>
          <w:lang w:eastAsia="cs-CZ"/>
        </w:rPr>
        <w:t> </w:t>
      </w:r>
      <w:r w:rsidRPr="00783CDF">
        <w:rPr>
          <w:rFonts w:eastAsia="Times New Roman" w:cs="Times New Roman"/>
          <w:b/>
          <w:lang w:eastAsia="cs-CZ"/>
        </w:rPr>
        <w:fldChar w:fldCharType="end"/>
      </w:r>
      <w:r w:rsidRPr="00783CDF">
        <w:rPr>
          <w:rFonts w:eastAsia="Times New Roman" w:cs="Times New Roman"/>
          <w:b/>
          <w:lang w:eastAsia="cs-CZ"/>
        </w:rPr>
        <w:tab/>
        <w:t xml:space="preserve"> </w:t>
      </w:r>
      <w:r w:rsidRPr="00783CDF">
        <w:rPr>
          <w:rFonts w:eastAsia="Times New Roman" w:cs="Times New Roman"/>
          <w:b/>
          <w:bCs/>
          <w:lang w:eastAsia="cs-CZ"/>
        </w:rPr>
        <w:t>Kč</w:t>
      </w:r>
      <w:r w:rsidRPr="00783CDF">
        <w:rPr>
          <w:rFonts w:eastAsia="Times New Roman" w:cs="Times New Roman"/>
          <w:lang w:eastAsia="cs-CZ"/>
        </w:rPr>
        <w:t xml:space="preserve">, slovy: </w:t>
      </w:r>
      <w:r w:rsidRPr="00783CDF">
        <w:rPr>
          <w:rFonts w:eastAsia="Times New Roman" w:cs="Times New Roman"/>
          <w:lang w:eastAsia="cs-CZ"/>
        </w:rPr>
        <w:fldChar w:fldCharType="begin">
          <w:ffData>
            <w:name w:val="Text1"/>
            <w:enabled/>
            <w:calcOnExit w:val="0"/>
            <w:textInput>
              <w:type w:val="date"/>
              <w:format w:val="d.M.yyyy"/>
            </w:textInput>
          </w:ffData>
        </w:fldChar>
      </w:r>
      <w:r w:rsidRPr="00783CDF">
        <w:rPr>
          <w:rFonts w:eastAsia="Times New Roman" w:cs="Times New Roman"/>
          <w:lang w:eastAsia="cs-CZ"/>
        </w:rPr>
        <w:instrText xml:space="preserve"> FORMTEXT </w:instrText>
      </w:r>
      <w:r w:rsidRPr="00783CDF">
        <w:rPr>
          <w:rFonts w:eastAsia="Times New Roman" w:cs="Times New Roman"/>
          <w:lang w:eastAsia="cs-CZ"/>
        </w:rPr>
      </w:r>
      <w:r w:rsidRPr="00783CDF">
        <w:rPr>
          <w:rFonts w:eastAsia="Times New Roman" w:cs="Times New Roman"/>
          <w:lang w:eastAsia="cs-CZ"/>
        </w:rPr>
        <w:fldChar w:fldCharType="separate"/>
      </w:r>
      <w:r w:rsidRPr="00783CDF">
        <w:rPr>
          <w:rFonts w:eastAsia="Times New Roman" w:cs="Times New Roman"/>
          <w:lang w:eastAsia="cs-CZ"/>
        </w:rPr>
        <w:t> </w:t>
      </w:r>
      <w:r w:rsidRPr="00783CDF">
        <w:rPr>
          <w:rFonts w:eastAsia="Times New Roman" w:cs="Times New Roman"/>
          <w:lang w:eastAsia="cs-CZ"/>
        </w:rPr>
        <w:t> </w:t>
      </w:r>
      <w:r w:rsidRPr="00783CDF">
        <w:rPr>
          <w:rFonts w:eastAsia="Times New Roman" w:cs="Times New Roman"/>
          <w:lang w:eastAsia="cs-CZ"/>
        </w:rPr>
        <w:t> </w:t>
      </w:r>
      <w:r w:rsidRPr="00783CDF">
        <w:rPr>
          <w:rFonts w:eastAsia="Times New Roman" w:cs="Times New Roman"/>
          <w:lang w:eastAsia="cs-CZ"/>
        </w:rPr>
        <w:t> </w:t>
      </w:r>
      <w:r w:rsidRPr="00783CDF">
        <w:rPr>
          <w:rFonts w:eastAsia="Times New Roman" w:cs="Times New Roman"/>
          <w:lang w:eastAsia="cs-CZ"/>
        </w:rPr>
        <w:t> </w:t>
      </w:r>
      <w:r w:rsidRPr="00783CDF">
        <w:rPr>
          <w:rFonts w:eastAsia="Times New Roman" w:cs="Times New Roman"/>
          <w:lang w:eastAsia="cs-CZ"/>
        </w:rPr>
        <w:fldChar w:fldCharType="end"/>
      </w:r>
      <w:r w:rsidRPr="00783CDF">
        <w:rPr>
          <w:rFonts w:eastAsia="Times New Roman" w:cs="Times New Roman"/>
          <w:lang w:eastAsia="cs-CZ"/>
        </w:rPr>
        <w:t xml:space="preserve"> korun českých</w:t>
      </w:r>
    </w:p>
    <w:p w:rsidR="00F01FED" w:rsidRPr="00F01FED"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783CDF">
        <w:rPr>
          <w:rFonts w:eastAsia="Times New Roman" w:cs="Times New Roman"/>
          <w:lang w:eastAsia="cs-CZ"/>
        </w:rPr>
        <w:t xml:space="preserve">Tato nabídková cena bude doložena i příslušnou </w:t>
      </w:r>
      <w:r w:rsidRPr="00783CDF">
        <w:rPr>
          <w:rFonts w:eastAsia="Times New Roman" w:cs="Times New Roman"/>
          <w:b/>
          <w:lang w:eastAsia="cs-CZ"/>
        </w:rPr>
        <w:t>cenovou kalkulací</w:t>
      </w:r>
      <w:r w:rsidRPr="00783CDF">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0A5156" w:rsidP="00F01FED">
      <w:pPr>
        <w:spacing w:after="0" w:line="240" w:lineRule="auto"/>
        <w:ind w:left="426"/>
        <w:jc w:val="both"/>
        <w:rPr>
          <w:rFonts w:eastAsia="Times New Roman" w:cs="Times New Roman"/>
          <w:lang w:eastAsia="cs-CZ"/>
        </w:rPr>
      </w:pPr>
      <w:r w:rsidRPr="00FB3558">
        <w:rPr>
          <w:rFonts w:eastAsia="Times New Roman" w:cs="Times New Roman"/>
          <w:lang w:eastAsia="cs-CZ"/>
        </w:rPr>
        <w:t>Jeden ze společníků bude ve výše uvedené smlouvě či jiném dokumentu uveden jako</w:t>
      </w:r>
      <w:r w:rsidRPr="00F01FED">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w:t>
      </w:r>
      <w:r w:rsidR="00F01FED" w:rsidRPr="00F01FED">
        <w:rPr>
          <w:rFonts w:eastAsia="Times New Roman" w:cs="Times New Roman"/>
          <w:lang w:eastAsia="cs-CZ"/>
        </w:rPr>
        <w:lastRenderedPageBreak/>
        <w:t>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w:t>
      </w:r>
      <w:r w:rsidRPr="00F01FED">
        <w:rPr>
          <w:rFonts w:eastAsia="Times New Roman" w:cs="Times New Roman"/>
          <w:lang w:eastAsia="cs-CZ"/>
        </w:rPr>
        <w:lastRenderedPageBreak/>
        <w:t xml:space="preserve">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0A5156"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si mimo jiné vyhrazuje právo zrušit výběrové řízení v případě, že k hodnocení připadnou pouze nabídky s nabídkovou cenou převyšující předpokládanou hodnotu </w:t>
      </w:r>
      <w:r w:rsidRPr="000A5156">
        <w:rPr>
          <w:rFonts w:eastAsia="Times New Roman" w:cs="Times New Roman"/>
          <w:lang w:eastAsia="cs-CZ"/>
        </w:rPr>
        <w:t>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0A5156">
        <w:rPr>
          <w:rFonts w:eastAsia="Times New Roman" w:cs="Times New Roman"/>
          <w:spacing w:val="-3"/>
          <w:lang w:eastAsia="cs-CZ"/>
        </w:rPr>
        <w:t>Pokud</w:t>
      </w:r>
      <w:r w:rsidRPr="000A5156">
        <w:rPr>
          <w:rFonts w:eastAsia="Times New Roman" w:cs="Times New Roman"/>
          <w:lang w:eastAsia="cs-CZ"/>
        </w:rPr>
        <w:t xml:space="preserve"> bude nabídka vybraného dodavatele obsahovat nabídkovou cenu, která překročí režim veřejn</w:t>
      </w:r>
      <w:r w:rsidR="000A5156" w:rsidRPr="000A5156">
        <w:rPr>
          <w:rFonts w:eastAsia="Times New Roman" w:cs="Times New Roman"/>
          <w:lang w:eastAsia="cs-CZ"/>
        </w:rPr>
        <w:t xml:space="preserve">é zakázky </w:t>
      </w:r>
      <w:r w:rsidRPr="000A5156">
        <w:rPr>
          <w:rFonts w:eastAsia="Times New Roman" w:cs="Times New Roman"/>
          <w:lang w:eastAsia="cs-CZ"/>
        </w:rPr>
        <w:t>bude</w:t>
      </w:r>
      <w:r w:rsidRPr="000A5156">
        <w:rPr>
          <w:rFonts w:eastAsia="Times New Roman" w:cs="Calibri"/>
          <w:lang w:eastAsia="cs-CZ"/>
        </w:rPr>
        <w:t xml:space="preserve"> </w:t>
      </w:r>
      <w:r w:rsidRPr="000A5156">
        <w:rPr>
          <w:rFonts w:eastAsia="Times New Roman" w:cs="Times New Roman"/>
          <w:lang w:eastAsia="cs-CZ"/>
        </w:rPr>
        <w:t>výběrové</w:t>
      </w:r>
      <w:r w:rsidRPr="00F01FED">
        <w:rPr>
          <w:rFonts w:eastAsia="Times New Roman" w:cs="Times New Roman"/>
          <w:lang w:eastAsia="cs-CZ"/>
        </w:rPr>
        <w:t xml:space="preserve">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0A5156">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0A5156">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Pr="00F01FED">
        <w:rPr>
          <w:rFonts w:eastAsia="Times New Roman" w:cs="Times New Roman"/>
          <w:b/>
          <w:iCs/>
          <w:lang w:eastAsia="cs-CZ"/>
        </w:rPr>
        <w:fldChar w:fldCharType="begin">
          <w:ffData>
            <w:name w:val="Text1"/>
            <w:enabled/>
            <w:calcOnExit w:val="0"/>
            <w:textInput>
              <w:type w:val="date"/>
              <w:format w:val="d.M.yyyy"/>
            </w:textInput>
          </w:ffData>
        </w:fldChar>
      </w:r>
      <w:r w:rsidRPr="00F01FED">
        <w:rPr>
          <w:rFonts w:eastAsia="Times New Roman" w:cs="Times New Roman"/>
          <w:b/>
          <w:iCs/>
          <w:lang w:eastAsia="cs-CZ"/>
        </w:rPr>
        <w:instrText xml:space="preserve"> FORMTEXT </w:instrText>
      </w:r>
      <w:r w:rsidRPr="00F01FED">
        <w:rPr>
          <w:rFonts w:eastAsia="Times New Roman" w:cs="Times New Roman"/>
          <w:b/>
          <w:iCs/>
          <w:lang w:eastAsia="cs-CZ"/>
        </w:rPr>
      </w:r>
      <w:r w:rsidRPr="00F01FED">
        <w:rPr>
          <w:rFonts w:eastAsia="Times New Roman" w:cs="Times New Roman"/>
          <w:b/>
          <w:iCs/>
          <w:lang w:eastAsia="cs-CZ"/>
        </w:rPr>
        <w:fldChar w:fldCharType="separate"/>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fldChar w:fldCharType="end"/>
      </w:r>
    </w:p>
    <w:p w:rsidR="00F01FED" w:rsidRPr="00F01FED" w:rsidRDefault="00F01FED" w:rsidP="00F01FED">
      <w:pPr>
        <w:spacing w:before="120" w:after="0" w:line="240" w:lineRule="auto"/>
        <w:ind w:left="426"/>
        <w:jc w:val="both"/>
        <w:rPr>
          <w:rFonts w:eastAsia="Times New Roman" w:cs="Times New Roman"/>
          <w:highlight w:val="gree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w:t>
      </w:r>
      <w:r w:rsidRPr="00F01FED">
        <w:rPr>
          <w:rFonts w:eastAsia="Times New Roman" w:cs="Times New Roman"/>
          <w:lang w:eastAsia="cs-CZ"/>
        </w:rPr>
        <w:lastRenderedPageBreak/>
        <w:t xml:space="preserve">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783CDF">
        <w:rPr>
          <w:rFonts w:eastAsia="Times New Roman" w:cs="Arial"/>
          <w:lang w:eastAsia="cs-CZ"/>
        </w:rPr>
        <w:t>,,</w:t>
      </w:r>
      <w:r w:rsidR="000A5156" w:rsidRPr="003F2E5D">
        <w:rPr>
          <w:rFonts w:eastAsia="Times New Roman" w:cs="Times New Roman"/>
          <w:b/>
          <w:lang w:eastAsia="cs-CZ"/>
        </w:rPr>
        <w:t>Modernizace železničního uzlu Pardubice</w:t>
      </w:r>
      <w:r w:rsidR="00783CDF">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783CDF">
        <w:rPr>
          <w:rFonts w:ascii="Verdana" w:hAnsi="Verdana"/>
        </w:rPr>
        <w:t>,,</w:t>
      </w:r>
      <w:r w:rsidR="00783CDF" w:rsidRPr="003F2E5D">
        <w:rPr>
          <w:rFonts w:eastAsia="Times New Roman" w:cs="Times New Roman"/>
          <w:b/>
          <w:lang w:eastAsia="cs-CZ"/>
        </w:rPr>
        <w:t>Modernizace železničního uzlu Pardubice</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0AE">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60AE">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60F9785" wp14:editId="2F34BDA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55D996D" wp14:editId="42D39C9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rsidTr="00F1715C">
      <w:tc>
        <w:tcPr>
          <w:tcW w:w="1361" w:type="dxa"/>
          <w:tcMar>
            <w:left w:w="0" w:type="dxa"/>
            <w:right w:w="0" w:type="dxa"/>
          </w:tcMar>
          <w:vAlign w:val="bottom"/>
        </w:tcPr>
        <w:p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0A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60AE">
            <w:rPr>
              <w:rStyle w:val="slostrnky"/>
              <w:noProof/>
            </w:rPr>
            <w:t>14</w:t>
          </w:r>
          <w:r w:rsidRPr="00B8518B">
            <w:rPr>
              <w:rStyle w:val="slostrnky"/>
            </w:rPr>
            <w:fldChar w:fldCharType="end"/>
          </w:r>
        </w:p>
      </w:tc>
      <w:tc>
        <w:tcPr>
          <w:tcW w:w="3458" w:type="dxa"/>
          <w:shd w:val="clear" w:color="auto" w:fill="auto"/>
          <w:tcMar>
            <w:left w:w="0" w:type="dxa"/>
            <w:right w:w="0" w:type="dxa"/>
          </w:tcMar>
        </w:tcPr>
        <w:p w:rsidR="000C0877" w:rsidRDefault="000C0877" w:rsidP="00361A5A">
          <w:pPr>
            <w:pStyle w:val="Zpat"/>
          </w:pPr>
          <w:r>
            <w:t>Správa železnic, státní organizace</w:t>
          </w:r>
        </w:p>
        <w:p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0C0877" w:rsidRDefault="000C0877" w:rsidP="00361A5A">
          <w:pPr>
            <w:pStyle w:val="Zpat"/>
          </w:pPr>
          <w:r>
            <w:t>Sídlo: Dlážděná 1003/7, 110 00 Praha 1</w:t>
          </w:r>
        </w:p>
        <w:p w:rsidR="000C0877" w:rsidRDefault="000C0877" w:rsidP="00361A5A">
          <w:pPr>
            <w:pStyle w:val="Zpat"/>
          </w:pPr>
          <w:r>
            <w:t>IČO: 709 94 234 DIČ: CZ 709 94 234</w:t>
          </w:r>
        </w:p>
        <w:p w:rsidR="000C0877" w:rsidRDefault="000C0877" w:rsidP="00361A5A">
          <w:pPr>
            <w:pStyle w:val="Zpat"/>
          </w:pPr>
          <w:r>
            <w:t>www.szdc.cz</w:t>
          </w:r>
        </w:p>
      </w:tc>
      <w:tc>
        <w:tcPr>
          <w:tcW w:w="2921" w:type="dxa"/>
        </w:tcPr>
        <w:p w:rsidR="000C0877" w:rsidRPr="00B45E9E" w:rsidRDefault="000C0877" w:rsidP="00361A5A">
          <w:pPr>
            <w:pStyle w:val="Zpat"/>
            <w:rPr>
              <w:b/>
            </w:rPr>
          </w:pPr>
          <w:r w:rsidRPr="00B45E9E">
            <w:rPr>
              <w:b/>
            </w:rPr>
            <w:t>Generální ředitelství</w:t>
          </w:r>
        </w:p>
        <w:p w:rsidR="000C0877" w:rsidRPr="00B45E9E" w:rsidRDefault="000C0877" w:rsidP="00361A5A">
          <w:pPr>
            <w:pStyle w:val="Zpat"/>
            <w:rPr>
              <w:b/>
            </w:rPr>
          </w:pPr>
          <w:r w:rsidRPr="00B45E9E">
            <w:rPr>
              <w:b/>
            </w:rPr>
            <w:t>Dlážděná 1003/7</w:t>
          </w:r>
        </w:p>
        <w:p w:rsidR="000C0877" w:rsidRDefault="000C087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D822376" wp14:editId="3497609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E61BBCE" wp14:editId="766E88B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DB3815C" wp14:editId="7A76931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1F4DB8D" wp14:editId="19978B1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65C097AC" wp14:editId="28878DE8">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nsid w:val="74070991"/>
    <w:multiLevelType w:val="multilevel"/>
    <w:tmpl w:val="CABE99FC"/>
    <w:numStyleLink w:val="ListNumbermultilevel"/>
  </w:abstractNum>
  <w:abstractNum w:abstractNumId="4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2"/>
  </w:num>
  <w:num w:numId="5">
    <w:abstractNumId w:val="2"/>
  </w:num>
  <w:num w:numId="6">
    <w:abstractNumId w:val="35"/>
  </w:num>
  <w:num w:numId="7">
    <w:abstractNumId w:val="30"/>
  </w:num>
  <w:num w:numId="8">
    <w:abstractNumId w:val="41"/>
  </w:num>
  <w:num w:numId="9">
    <w:abstractNumId w:val="43"/>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5"/>
  </w:num>
  <w:num w:numId="33">
    <w:abstractNumId w:val="44"/>
  </w:num>
  <w:num w:numId="34">
    <w:abstractNumId w:val="33"/>
  </w:num>
  <w:num w:numId="35">
    <w:abstractNumId w:val="14"/>
  </w:num>
  <w:num w:numId="36">
    <w:abstractNumId w:val="39"/>
  </w:num>
  <w:num w:numId="37">
    <w:abstractNumId w:val="26"/>
  </w:num>
  <w:num w:numId="38">
    <w:abstractNumId w:val="23"/>
  </w:num>
  <w:num w:numId="39">
    <w:abstractNumId w:val="11"/>
  </w:num>
  <w:num w:numId="40">
    <w:abstractNumId w:val="31"/>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443F0"/>
    <w:rsid w:val="000715D2"/>
    <w:rsid w:val="00072C1E"/>
    <w:rsid w:val="00076065"/>
    <w:rsid w:val="000A5156"/>
    <w:rsid w:val="000B6C7E"/>
    <w:rsid w:val="000B7907"/>
    <w:rsid w:val="000C0429"/>
    <w:rsid w:val="000C0877"/>
    <w:rsid w:val="000C45E8"/>
    <w:rsid w:val="000C7E81"/>
    <w:rsid w:val="000D7F1B"/>
    <w:rsid w:val="00114472"/>
    <w:rsid w:val="00170EC5"/>
    <w:rsid w:val="001747C1"/>
    <w:rsid w:val="0018596A"/>
    <w:rsid w:val="001A6F12"/>
    <w:rsid w:val="001B69C2"/>
    <w:rsid w:val="001C4DA0"/>
    <w:rsid w:val="001F57D7"/>
    <w:rsid w:val="00207DF5"/>
    <w:rsid w:val="00267369"/>
    <w:rsid w:val="0026785D"/>
    <w:rsid w:val="002C31BF"/>
    <w:rsid w:val="002E0CD7"/>
    <w:rsid w:val="002F026B"/>
    <w:rsid w:val="00357BC6"/>
    <w:rsid w:val="0037111D"/>
    <w:rsid w:val="003956C6"/>
    <w:rsid w:val="003E6B9A"/>
    <w:rsid w:val="003E75CE"/>
    <w:rsid w:val="003F2E5D"/>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559BD"/>
    <w:rsid w:val="005658A6"/>
    <w:rsid w:val="005720E7"/>
    <w:rsid w:val="005722BB"/>
    <w:rsid w:val="005736B7"/>
    <w:rsid w:val="00575E5A"/>
    <w:rsid w:val="00580594"/>
    <w:rsid w:val="00584E2A"/>
    <w:rsid w:val="00596C7E"/>
    <w:rsid w:val="005A1E34"/>
    <w:rsid w:val="005A64E9"/>
    <w:rsid w:val="005B5EE9"/>
    <w:rsid w:val="005E0F20"/>
    <w:rsid w:val="006104F6"/>
    <w:rsid w:val="0061068E"/>
    <w:rsid w:val="00660AD3"/>
    <w:rsid w:val="006860AE"/>
    <w:rsid w:val="00694044"/>
    <w:rsid w:val="006A5570"/>
    <w:rsid w:val="006A689C"/>
    <w:rsid w:val="006B3D79"/>
    <w:rsid w:val="006E0578"/>
    <w:rsid w:val="006E314D"/>
    <w:rsid w:val="006E7F06"/>
    <w:rsid w:val="006F44FD"/>
    <w:rsid w:val="006F5764"/>
    <w:rsid w:val="00710723"/>
    <w:rsid w:val="00723ED1"/>
    <w:rsid w:val="00735ED4"/>
    <w:rsid w:val="00743525"/>
    <w:rsid w:val="007531A0"/>
    <w:rsid w:val="0076286B"/>
    <w:rsid w:val="00764595"/>
    <w:rsid w:val="00766846"/>
    <w:rsid w:val="0077673A"/>
    <w:rsid w:val="00783CDF"/>
    <w:rsid w:val="007846E1"/>
    <w:rsid w:val="007B570C"/>
    <w:rsid w:val="007E4A6E"/>
    <w:rsid w:val="007F56A7"/>
    <w:rsid w:val="00807DD0"/>
    <w:rsid w:val="00813F11"/>
    <w:rsid w:val="00873EEC"/>
    <w:rsid w:val="00891334"/>
    <w:rsid w:val="008A3568"/>
    <w:rsid w:val="008A6B07"/>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5303E"/>
    <w:rsid w:val="00A6177B"/>
    <w:rsid w:val="00A66136"/>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97609"/>
    <w:rsid w:val="00CA5C8B"/>
    <w:rsid w:val="00CB7B5A"/>
    <w:rsid w:val="00CC1E2B"/>
    <w:rsid w:val="00CD1FC4"/>
    <w:rsid w:val="00CD63CB"/>
    <w:rsid w:val="00CE371D"/>
    <w:rsid w:val="00D02A4D"/>
    <w:rsid w:val="00D21061"/>
    <w:rsid w:val="00D316A7"/>
    <w:rsid w:val="00D4108E"/>
    <w:rsid w:val="00D6163D"/>
    <w:rsid w:val="00D63009"/>
    <w:rsid w:val="00D831A3"/>
    <w:rsid w:val="00D902AD"/>
    <w:rsid w:val="00DA6FFE"/>
    <w:rsid w:val="00DC3110"/>
    <w:rsid w:val="00DD46F3"/>
    <w:rsid w:val="00DD58A6"/>
    <w:rsid w:val="00DD6339"/>
    <w:rsid w:val="00DE56F2"/>
    <w:rsid w:val="00DF116D"/>
    <w:rsid w:val="00E824F1"/>
    <w:rsid w:val="00EB104F"/>
    <w:rsid w:val="00ED14BD"/>
    <w:rsid w:val="00F01440"/>
    <w:rsid w:val="00F01F4A"/>
    <w:rsid w:val="00F01FED"/>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652929-019F-4A9E-8E6F-5315970EB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134</TotalTime>
  <Pages>14</Pages>
  <Words>6641</Words>
  <Characters>39182</Characters>
  <Application>Microsoft Office Word</Application>
  <DocSecurity>0</DocSecurity>
  <Lines>326</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12</cp:revision>
  <cp:lastPrinted>2020-08-10T08:44:00Z</cp:lastPrinted>
  <dcterms:created xsi:type="dcterms:W3CDTF">2020-01-27T12:32:00Z</dcterms:created>
  <dcterms:modified xsi:type="dcterms:W3CDTF">2020-08-10T11:33:00Z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