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F6E31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6D392E" w:rsidRPr="009F6E31">
        <w:rPr>
          <w:rFonts w:eastAsia="Times New Roman" w:cs="Times New Roman"/>
          <w:lang w:eastAsia="cs-CZ"/>
        </w:rPr>
        <w:t>podlimitní sektorovou veřejnou zakázku</w:t>
      </w:r>
      <w:r w:rsidR="006D392E" w:rsidRPr="00D716B7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9F6E31" w:rsidRPr="009F6E31">
        <w:rPr>
          <w:rFonts w:eastAsia="Times New Roman" w:cs="Times New Roman"/>
          <w:b/>
          <w:lang w:eastAsia="cs-CZ"/>
        </w:rPr>
        <w:t>Oprava MPV 22.2 v. č. 006 v rozsahu revize</w:t>
      </w:r>
      <w:r w:rsidR="006D392E" w:rsidRPr="00240F92">
        <w:rPr>
          <w:rFonts w:eastAsia="Times New Roman" w:cs="Times New Roman"/>
          <w:b/>
          <w:lang w:eastAsia="cs-CZ"/>
        </w:rPr>
        <w:t>“</w:t>
      </w:r>
      <w:r w:rsidR="006D392E" w:rsidRPr="00240F92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240F92">
        <w:rPr>
          <w:rFonts w:eastAsia="Times New Roman" w:cs="Times New Roman"/>
          <w:lang w:eastAsia="cs-CZ"/>
        </w:rPr>
        <w:t>č.j.</w:t>
      </w:r>
      <w:proofErr w:type="gramEnd"/>
      <w:r w:rsidR="00053139" w:rsidRPr="00240F92">
        <w:rPr>
          <w:rFonts w:eastAsia="Times New Roman" w:cs="Times New Roman"/>
          <w:lang w:eastAsia="cs-CZ"/>
        </w:rPr>
        <w:t xml:space="preserve"> 20233</w:t>
      </w:r>
      <w:r w:rsidR="00053139" w:rsidRPr="00053139">
        <w:rPr>
          <w:rFonts w:eastAsia="Times New Roman" w:cs="Times New Roman"/>
          <w:lang w:eastAsia="cs-CZ"/>
        </w:rPr>
        <w:t>/2020-SŽ-OŘ UNL-OVZ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bookmarkStart w:id="1" w:name="_GoBack"/>
      <w:bookmarkEnd w:id="1"/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9F6E31" w:rsidTr="009F6E31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9F6E31" w:rsidRPr="00B8518B" w:rsidRDefault="009F6E31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0F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6E31" w:rsidRDefault="009F6E31" w:rsidP="00460660">
          <w:pPr>
            <w:pStyle w:val="Zpat"/>
          </w:pPr>
          <w:r>
            <w:t>Správa železnic, státní organizace</w:t>
          </w:r>
        </w:p>
        <w:p w:rsidR="009F6E31" w:rsidRDefault="009F6E31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</w:tcPr>
        <w:p w:rsidR="009F6E31" w:rsidRDefault="009F6E31" w:rsidP="0059769D">
          <w:pPr>
            <w:pStyle w:val="Zpat"/>
          </w:pPr>
          <w:r>
            <w:t>Sídlo: Dlážděná 1003/7, 110 00 Praha 1</w:t>
          </w:r>
        </w:p>
        <w:p w:rsidR="009F6E31" w:rsidRDefault="009F6E31" w:rsidP="0059769D">
          <w:pPr>
            <w:pStyle w:val="Zpat"/>
          </w:pPr>
          <w:r>
            <w:t>IČO: 709 94 234 DIČ: CZ 709 94 234</w:t>
          </w:r>
        </w:p>
        <w:p w:rsidR="009F6E31" w:rsidRDefault="009F6E31" w:rsidP="0059769D">
          <w:pPr>
            <w:pStyle w:val="Zpat"/>
          </w:pPr>
          <w:r>
            <w:t>www.szdc.cz</w:t>
          </w:r>
        </w:p>
      </w:tc>
      <w:tc>
        <w:tcPr>
          <w:tcW w:w="2835" w:type="dxa"/>
          <w:shd w:val="clear" w:color="auto" w:fill="auto"/>
        </w:tcPr>
        <w:p w:rsidR="009F6E31" w:rsidRDefault="009F6E31" w:rsidP="009F6E31">
          <w:pPr>
            <w:pStyle w:val="Zpat"/>
          </w:pPr>
          <w:r>
            <w:t>Oblastní ředitelství Ústí nad Labem</w:t>
          </w:r>
        </w:p>
        <w:p w:rsidR="009F6E31" w:rsidRDefault="009F6E31" w:rsidP="009F6E31">
          <w:pPr>
            <w:pStyle w:val="Zpat"/>
          </w:pPr>
          <w:r>
            <w:t>Železničářská 1386/31</w:t>
          </w:r>
        </w:p>
        <w:p w:rsidR="009F6E31" w:rsidRDefault="009F6E31" w:rsidP="009F6E31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:rsidR="009F6E31" w:rsidRDefault="009F6E31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48836E8" wp14:editId="28AF66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BEBFA95" wp14:editId="56F926D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53139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40F92"/>
    <w:rsid w:val="00280E07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9F6E31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159062-A0E0-49AD-8C39-12DC3AE1D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Fridrichová Lucie, Bc.</cp:lastModifiedBy>
  <cp:revision>6</cp:revision>
  <cp:lastPrinted>2020-02-10T12:41:00Z</cp:lastPrinted>
  <dcterms:created xsi:type="dcterms:W3CDTF">2020-02-19T11:53:00Z</dcterms:created>
  <dcterms:modified xsi:type="dcterms:W3CDTF">2020-08-10T10:25:00Z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