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>Příloha č. 1</w:t>
      </w:r>
      <w:r w:rsidR="00510067">
        <w:rPr>
          <w:rFonts w:ascii="Verdana" w:eastAsia="Times New Roman" w:hAnsi="Verdana" w:cs="Calibri"/>
          <w:bCs/>
          <w:lang w:eastAsia="cs-CZ"/>
        </w:rPr>
        <w:t>1 Zadávací dokumentace</w:t>
      </w:r>
    </w:p>
    <w:p w:rsidR="00510067" w:rsidRPr="00510067" w:rsidRDefault="00510067" w:rsidP="00510067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bCs/>
          <w:color w:val="FF5200"/>
          <w:spacing w:val="-6"/>
          <w:sz w:val="36"/>
          <w:szCs w:val="36"/>
        </w:rPr>
      </w:pPr>
      <w:r w:rsidRPr="00510067">
        <w:rPr>
          <w:rFonts w:ascii="Verdana" w:eastAsia="Times New Roman" w:hAnsi="Verdana" w:cs="Times New Roman"/>
          <w:b/>
          <w:bCs/>
          <w:color w:val="FF5200"/>
          <w:spacing w:val="-6"/>
          <w:sz w:val="36"/>
          <w:szCs w:val="36"/>
        </w:rPr>
        <w:t>Požadavky a podmínky zadavatele na doložení vzorků</w:t>
      </w:r>
      <w:bookmarkStart w:id="0" w:name="_GoBack"/>
      <w:bookmarkEnd w:id="0"/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eastAsia="Calibri" w:cs="Arial"/>
          <w:color w:val="000000"/>
        </w:rPr>
      </w:pPr>
      <w:r w:rsidRPr="00510067">
        <w:rPr>
          <w:rFonts w:eastAsia="Calibri" w:cs="Arial"/>
          <w:color w:val="000000"/>
        </w:rPr>
        <w:t>V souladu se zákonem a čl. 5. odst. 5.2.4.2 písm. d) Zadávací dokumentace požaduje zadavatel od účastníka předložení vzorků zboží, jehož dodávka je předmětem této veřejné zakázky.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Calibri" w:cs="Arial"/>
          <w:color w:val="00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eastAsia="Calibri" w:cs="Arial"/>
          <w:color w:val="000000"/>
        </w:rPr>
      </w:pPr>
      <w:r w:rsidRPr="00510067">
        <w:rPr>
          <w:rFonts w:eastAsia="Calibri" w:cs="Arial"/>
          <w:color w:val="000000"/>
        </w:rPr>
        <w:t>Vzorky budou použity za účelem posouzení kvalitativních vlastností dodávaného plnění a dále pro potřeby hodnocení dle čl. 6 Zadávací dokumentace.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eastAsia="Calibri" w:cs="Arial"/>
        </w:rPr>
      </w:pPr>
      <w:r w:rsidRPr="00510067">
        <w:rPr>
          <w:rFonts w:eastAsia="Calibri" w:cs="Arial"/>
        </w:rPr>
        <w:t>Zadavatel požaduje doložit vzorky následujícího plnění (zboží), které je předmětem této veřejné zakázky: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firstLine="426"/>
        <w:rPr>
          <w:rFonts w:eastAsia="Calibri" w:cs="Arial"/>
        </w:rPr>
      </w:pPr>
      <w:r w:rsidRPr="00510067">
        <w:rPr>
          <w:rFonts w:eastAsia="Calibri" w:cs="Arial"/>
        </w:rPr>
        <w:t xml:space="preserve">Typ </w:t>
      </w:r>
      <w:proofErr w:type="gramStart"/>
      <w:r w:rsidRPr="00510067">
        <w:rPr>
          <w:rFonts w:eastAsia="Calibri" w:cs="Arial"/>
        </w:rPr>
        <w:t>A.1 - Sedací</w:t>
      </w:r>
      <w:proofErr w:type="gramEnd"/>
      <w:r w:rsidRPr="00510067">
        <w:rPr>
          <w:rFonts w:eastAsia="Calibri" w:cs="Arial"/>
        </w:rPr>
        <w:t xml:space="preserve"> nábytek do interiéru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firstLine="426"/>
        <w:rPr>
          <w:rFonts w:eastAsia="Calibri" w:cs="Arial"/>
        </w:rPr>
      </w:pPr>
      <w:r w:rsidRPr="00510067">
        <w:rPr>
          <w:rFonts w:eastAsia="Calibri" w:cs="Arial"/>
        </w:rPr>
        <w:t xml:space="preserve">Typ </w:t>
      </w:r>
      <w:proofErr w:type="gramStart"/>
      <w:r w:rsidRPr="00510067">
        <w:rPr>
          <w:rFonts w:eastAsia="Calibri" w:cs="Arial"/>
        </w:rPr>
        <w:t>A.2 - Sedací</w:t>
      </w:r>
      <w:proofErr w:type="gramEnd"/>
      <w:r w:rsidRPr="00510067">
        <w:rPr>
          <w:rFonts w:eastAsia="Calibri" w:cs="Arial"/>
        </w:rPr>
        <w:t xml:space="preserve"> nábytek do exteriéru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firstLine="426"/>
        <w:rPr>
          <w:rFonts w:eastAsia="Calibri" w:cs="Arial"/>
        </w:rPr>
      </w:pPr>
      <w:proofErr w:type="gramStart"/>
      <w:r w:rsidRPr="00510067">
        <w:rPr>
          <w:rFonts w:eastAsia="Calibri" w:cs="Arial"/>
        </w:rPr>
        <w:t>Typ B.2 - Jednotlivě</w:t>
      </w:r>
      <w:proofErr w:type="gramEnd"/>
      <w:r w:rsidRPr="00510067">
        <w:rPr>
          <w:rFonts w:eastAsia="Calibri" w:cs="Arial"/>
        </w:rPr>
        <w:t xml:space="preserve"> umisťované nádoby na odpad v exteriéru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firstLine="426"/>
        <w:rPr>
          <w:rFonts w:eastAsia="Calibri" w:cs="Arial"/>
        </w:rPr>
      </w:pPr>
      <w:proofErr w:type="gramStart"/>
      <w:r w:rsidRPr="00510067">
        <w:rPr>
          <w:rFonts w:eastAsia="Calibri" w:cs="Arial"/>
        </w:rPr>
        <w:t>Typ B.3 - Sestavy</w:t>
      </w:r>
      <w:proofErr w:type="gramEnd"/>
      <w:r w:rsidRPr="00510067">
        <w:rPr>
          <w:rFonts w:eastAsia="Calibri" w:cs="Arial"/>
        </w:rPr>
        <w:t xml:space="preserve"> pro ukládání tříděného odpadu v interiéru budov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Calibri" w:cs="Arial"/>
        </w:rPr>
      </w:pPr>
      <w:r w:rsidRPr="00510067">
        <w:rPr>
          <w:rFonts w:eastAsia="Calibri" w:cs="Arial"/>
        </w:rPr>
        <w:t xml:space="preserve">Vzorky budou doručeny smontované. 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color w:val="00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eastAsia="Calibri" w:cs="Arial,Bold"/>
          <w:b/>
          <w:bCs/>
        </w:rPr>
      </w:pPr>
      <w:r w:rsidRPr="00510067">
        <w:rPr>
          <w:rFonts w:eastAsia="Calibri" w:cs="Arial"/>
        </w:rPr>
        <w:t xml:space="preserve">Zájemce je povinen </w:t>
      </w:r>
      <w:r w:rsidRPr="00510067">
        <w:rPr>
          <w:rFonts w:eastAsia="Calibri" w:cs="Arial,Bold"/>
          <w:b/>
          <w:bCs/>
        </w:rPr>
        <w:t>doručit vzorky</w:t>
      </w:r>
      <w:r w:rsidRPr="00510067">
        <w:rPr>
          <w:rFonts w:eastAsia="Calibri" w:cs="Arial"/>
        </w:rPr>
        <w:t xml:space="preserve"> ve lhůtě pro podání nabídek poštou nebo osobně, v pracovních dnech od 09:00 do 15.00 hodin, na </w:t>
      </w:r>
      <w:r w:rsidRPr="00510067">
        <w:rPr>
          <w:rFonts w:eastAsia="Calibri" w:cs="Arial,Bold"/>
          <w:bCs/>
        </w:rPr>
        <w:t>adresu</w:t>
      </w:r>
      <w:r w:rsidRPr="00510067">
        <w:rPr>
          <w:rFonts w:eastAsia="Calibri" w:cs="Arial,Bold"/>
          <w:b/>
          <w:bCs/>
        </w:rPr>
        <w:t xml:space="preserve"> Správa železnice, státní organizace, Odbor pozemních staveb, Václavkova 169/1, 160 00 Praha 6. 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,Bold"/>
          <w:b/>
          <w:bCs/>
          <w:color w:val="00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Calibri" w:cs="Arial"/>
        </w:rPr>
      </w:pPr>
      <w:r w:rsidRPr="00510067">
        <w:rPr>
          <w:rFonts w:eastAsia="Calibri" w:cs="Arial"/>
          <w:color w:val="000000"/>
        </w:rPr>
        <w:t xml:space="preserve">Všechny vzorky každého zájemce musí být </w:t>
      </w:r>
      <w:r w:rsidRPr="00510067">
        <w:rPr>
          <w:rFonts w:eastAsia="Calibri" w:cs="Arial,Bold"/>
          <w:color w:val="000000"/>
        </w:rPr>
        <w:t xml:space="preserve">zabaleny samostatně, přičemž vzorky mohou být dále zabaleny do společného balení, které musí umožnit manipulaci. </w:t>
      </w:r>
      <w:r w:rsidRPr="00510067">
        <w:rPr>
          <w:rFonts w:eastAsia="Calibri" w:cs="Arial"/>
        </w:rPr>
        <w:t>Dodané vzorky musí být zabaleny způsobem obvyklým pro daný druh zboží a způsobem chránící vzorky před poškozením nebo ztrátou části vzorků.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,Bold"/>
          <w:color w:val="00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eastAsia="Calibri" w:cs="Arial"/>
          <w:color w:val="000000"/>
        </w:rPr>
      </w:pPr>
      <w:r w:rsidRPr="00510067">
        <w:rPr>
          <w:rFonts w:eastAsia="Calibri" w:cs="Arial"/>
          <w:color w:val="000000"/>
        </w:rPr>
        <w:t xml:space="preserve">Balení vzorků každého zájemce musí být viditelně a čitelně označeno </w:t>
      </w:r>
      <w:r w:rsidRPr="00510067">
        <w:rPr>
          <w:rFonts w:eastAsia="Calibri" w:cs="Arial,Bold"/>
          <w:b/>
          <w:bCs/>
          <w:color w:val="000000"/>
        </w:rPr>
        <w:t>obchodní firmou zájemce</w:t>
      </w:r>
      <w:r w:rsidRPr="00510067">
        <w:rPr>
          <w:rFonts w:eastAsia="Calibri" w:cs="Arial"/>
          <w:color w:val="000000"/>
        </w:rPr>
        <w:t xml:space="preserve">, označením </w:t>
      </w:r>
      <w:r w:rsidRPr="00510067">
        <w:rPr>
          <w:rFonts w:eastAsia="Calibri" w:cs="Arial,Bold"/>
          <w:b/>
          <w:bCs/>
          <w:color w:val="000000"/>
        </w:rPr>
        <w:t>NEOTVÍRAT</w:t>
      </w:r>
      <w:r w:rsidRPr="00510067">
        <w:rPr>
          <w:rFonts w:eastAsia="Calibri" w:cs="Arial"/>
          <w:color w:val="000000"/>
        </w:rPr>
        <w:t xml:space="preserve">, </w:t>
      </w:r>
      <w:r w:rsidRPr="00510067">
        <w:rPr>
          <w:rFonts w:eastAsia="Calibri" w:cs="Arial,Bold"/>
          <w:b/>
          <w:bCs/>
          <w:color w:val="000000"/>
        </w:rPr>
        <w:t xml:space="preserve">názvem veřejné zakázky </w:t>
      </w:r>
      <w:r w:rsidRPr="00510067">
        <w:rPr>
          <w:rFonts w:eastAsia="Calibri" w:cs="Arial"/>
          <w:color w:val="000000"/>
        </w:rPr>
        <w:t xml:space="preserve">a označením </w:t>
      </w:r>
      <w:r w:rsidRPr="00510067">
        <w:rPr>
          <w:rFonts w:eastAsia="Calibri" w:cs="Arial,Bold"/>
          <w:b/>
          <w:bCs/>
          <w:color w:val="000000"/>
        </w:rPr>
        <w:t>VZORKY</w:t>
      </w:r>
      <w:r w:rsidRPr="00510067">
        <w:rPr>
          <w:rFonts w:eastAsia="Calibri" w:cs="Arial"/>
          <w:color w:val="000000"/>
        </w:rPr>
        <w:t>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,Bold"/>
          <w:b/>
          <w:bCs/>
        </w:rPr>
      </w:pPr>
      <w:r w:rsidRPr="00510067">
        <w:rPr>
          <w:rFonts w:eastAsia="Calibri" w:cs="Arial"/>
        </w:rPr>
        <w:t xml:space="preserve">Příklad: </w:t>
      </w:r>
      <w:r w:rsidRPr="00510067">
        <w:rPr>
          <w:rFonts w:eastAsia="Calibri" w:cs="Arial,Bold"/>
          <w:b/>
          <w:bCs/>
        </w:rPr>
        <w:t>Společnost XXX, s.r.o. – NEOTVÍRAT – Mobiliář pro železniční stanice a zastávky – VZORKY.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,Bold"/>
          <w:b/>
          <w:bCs/>
          <w:color w:val="FF0000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Calibri" w:cs="Arial"/>
        </w:rPr>
      </w:pPr>
      <w:r w:rsidRPr="00510067">
        <w:rPr>
          <w:rFonts w:eastAsia="Calibri" w:cs="Arial,Bold"/>
        </w:rPr>
        <w:t>Součástí</w:t>
      </w:r>
      <w:r w:rsidRPr="00510067">
        <w:rPr>
          <w:rFonts w:eastAsia="Calibri" w:cs="Arial,Bold"/>
          <w:b/>
          <w:bCs/>
        </w:rPr>
        <w:t xml:space="preserve"> </w:t>
      </w:r>
      <w:r w:rsidRPr="00510067">
        <w:rPr>
          <w:rFonts w:eastAsia="Calibri" w:cs="Arial"/>
          <w:color w:val="000000"/>
        </w:rPr>
        <w:t>balení</w:t>
      </w:r>
      <w:r w:rsidRPr="00510067">
        <w:rPr>
          <w:rFonts w:eastAsia="Calibri" w:cs="Arial"/>
        </w:rPr>
        <w:t xml:space="preserve"> vzorků každého zájemce musí být dále </w:t>
      </w:r>
      <w:r w:rsidRPr="00510067">
        <w:rPr>
          <w:rFonts w:eastAsia="Calibri" w:cs="Arial,Bold"/>
        </w:rPr>
        <w:t>seznam vzorků</w:t>
      </w:r>
      <w:r w:rsidRPr="00510067">
        <w:rPr>
          <w:rFonts w:eastAsia="Calibri" w:cs="Arial"/>
        </w:rPr>
        <w:t>, podepsaného osobou oprávněnou jednat jménem nebo za zájemce.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Calibri" w:cs="Arial"/>
        </w:rPr>
      </w:pPr>
      <w:r w:rsidRPr="00510067">
        <w:rPr>
          <w:rFonts w:eastAsia="Calibri" w:cs="Arial"/>
        </w:rPr>
        <w:t xml:space="preserve">Každý jednotlivý vzorek dodavatele musí být viditelně a čitelně označen </w:t>
      </w:r>
      <w:r w:rsidRPr="00510067">
        <w:rPr>
          <w:rFonts w:eastAsia="Calibri" w:cs="Arial,Bold"/>
        </w:rPr>
        <w:t xml:space="preserve">názvem a identifikací, o </w:t>
      </w:r>
      <w:r w:rsidRPr="00510067">
        <w:rPr>
          <w:rFonts w:eastAsia="Calibri" w:cs="Arial"/>
          <w:color w:val="000000"/>
        </w:rPr>
        <w:t>jaké</w:t>
      </w:r>
      <w:r w:rsidRPr="00510067">
        <w:rPr>
          <w:rFonts w:eastAsia="Calibri" w:cs="Arial,Bold"/>
        </w:rPr>
        <w:t xml:space="preserve"> zboží (prvek), které je předmětem této veřejné zakázky se jedná</w:t>
      </w:r>
      <w:r w:rsidRPr="00510067">
        <w:rPr>
          <w:rFonts w:eastAsia="Calibri" w:cs="Arial"/>
        </w:rPr>
        <w:t>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eastAsia="Calibri" w:cs="Times New Roman"/>
        </w:rPr>
      </w:pPr>
      <w:r w:rsidRPr="00510067">
        <w:rPr>
          <w:rFonts w:eastAsia="Calibri" w:cs="Arial"/>
        </w:rPr>
        <w:t>Zadavatel si vyhrazuje právo vyloučit ze zadávacího řízení dodavatele, jejichž vzorky nebudou řádně označeny a zabaleny v souladu s tímto článkem zadávací dokumentace.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eastAsia="Calibri" w:cs="Times New Roman"/>
        </w:rPr>
      </w:pPr>
    </w:p>
    <w:p w:rsidR="00510067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eastAsia="Calibri" w:cs="Arial"/>
        </w:rPr>
      </w:pPr>
      <w:r w:rsidRPr="00510067">
        <w:rPr>
          <w:rFonts w:eastAsia="Calibri" w:cs="Arial"/>
        </w:rPr>
        <w:t xml:space="preserve">Po skončení zadávacího řízení budou všichni dodavatelé vyzváni k vyzvednutí předložených rozbalených vzorků (obaly, ve kterém </w:t>
      </w:r>
      <w:proofErr w:type="gramStart"/>
      <w:r w:rsidRPr="00510067">
        <w:rPr>
          <w:rFonts w:eastAsia="Calibri" w:cs="Arial"/>
        </w:rPr>
        <w:t>byly</w:t>
      </w:r>
      <w:proofErr w:type="gramEnd"/>
      <w:r w:rsidRPr="00510067">
        <w:rPr>
          <w:rFonts w:eastAsia="Calibri" w:cs="Arial"/>
        </w:rPr>
        <w:t xml:space="preserve"> vzorky zabaleny zadavatel </w:t>
      </w:r>
      <w:proofErr w:type="gramStart"/>
      <w:r w:rsidRPr="00510067">
        <w:rPr>
          <w:rFonts w:eastAsia="Calibri" w:cs="Arial"/>
        </w:rPr>
        <w:t>nevrací</w:t>
      </w:r>
      <w:proofErr w:type="gramEnd"/>
      <w:r w:rsidRPr="00510067">
        <w:rPr>
          <w:rFonts w:eastAsia="Calibri" w:cs="Arial"/>
        </w:rPr>
        <w:t xml:space="preserve">). Zadavatel nenese odpovědnost za běžné opotřebení vzorků či za opotřebení vzniklé při hodnocení vzorků. Dodavatelé jsou povinni si vzorky po předchozí domluvě vyzvednout u zadavatele do 14 dnů ode dne doručení výzvy. V případě, že si dodavatel </w:t>
      </w:r>
      <w:r w:rsidRPr="00510067">
        <w:rPr>
          <w:rFonts w:eastAsia="Calibri" w:cs="Arial"/>
        </w:rPr>
        <w:lastRenderedPageBreak/>
        <w:t xml:space="preserve">vzorek nevyzvedne ve lhůtě 14 dnů ode dne doručení výzvy, je zadavatel oprávněn si vzorky ponechat nebo je zlikvidovat. </w:t>
      </w:r>
    </w:p>
    <w:p w:rsidR="00510067" w:rsidRPr="00510067" w:rsidRDefault="00510067" w:rsidP="00510067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eastAsia="Calibri" w:cs="Arial"/>
        </w:rPr>
      </w:pPr>
    </w:p>
    <w:p w:rsidR="00F95A32" w:rsidRPr="00510067" w:rsidRDefault="00510067" w:rsidP="00510067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</w:pPr>
      <w:r w:rsidRPr="00510067">
        <w:rPr>
          <w:rFonts w:eastAsia="Calibri" w:cs="Arial"/>
        </w:rPr>
        <w:t>Vzorky předložené vybraným dodavatelem si zadavatel ponechá a uhradí za ně vybranému dodavateli jejich hodnotu dle jednotkové ceny uvedené v nabídce dodavatele.</w:t>
      </w:r>
    </w:p>
    <w:sectPr w:rsidR="00F95A32" w:rsidRPr="0051006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A9" w:rsidRDefault="009665A9" w:rsidP="00962258">
      <w:pPr>
        <w:spacing w:after="0" w:line="240" w:lineRule="auto"/>
      </w:pPr>
      <w:r>
        <w:separator/>
      </w:r>
    </w:p>
  </w:endnote>
  <w:endnote w:type="continuationSeparator" w:id="0">
    <w:p w:rsidR="009665A9" w:rsidRDefault="009665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00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00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F57DE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428F8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00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00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0C0B3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B6A6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A9" w:rsidRDefault="009665A9" w:rsidP="00962258">
      <w:pPr>
        <w:spacing w:after="0" w:line="240" w:lineRule="auto"/>
      </w:pPr>
      <w:r>
        <w:separator/>
      </w:r>
    </w:p>
  </w:footnote>
  <w:footnote w:type="continuationSeparator" w:id="0">
    <w:p w:rsidR="009665A9" w:rsidRDefault="009665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B317559"/>
    <w:multiLevelType w:val="multilevel"/>
    <w:tmpl w:val="2E0A7E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067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5A9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A0A5271-ECD0-47C2-BA45-F35814B3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cp:lastPrinted>2017-11-28T17:18:00Z</cp:lastPrinted>
  <dcterms:created xsi:type="dcterms:W3CDTF">2020-07-23T04:50:00Z</dcterms:created>
  <dcterms:modified xsi:type="dcterms:W3CDTF">2020-07-23T04:50:00Z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