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9FF3D" w14:textId="2D41A668" w:rsidR="00A44771" w:rsidRPr="00A44771" w:rsidRDefault="00A44771" w:rsidP="00A44771">
      <w:pPr>
        <w:rPr>
          <w:rStyle w:val="Zvraznn"/>
          <w:color w:val="auto"/>
        </w:rPr>
      </w:pPr>
      <w:r w:rsidRPr="00A44771">
        <w:rPr>
          <w:rStyle w:val="Zvraznn"/>
          <w:color w:val="auto"/>
        </w:rPr>
        <w:t xml:space="preserve">Příloha č. </w:t>
      </w:r>
      <w:r w:rsidR="00B46454">
        <w:rPr>
          <w:rStyle w:val="Zvraznn"/>
          <w:color w:val="auto"/>
        </w:rPr>
        <w:t>2 Výzvy k podání nabídky</w:t>
      </w:r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03B0D672" w:rsidR="00785491" w:rsidRDefault="00082C3F" w:rsidP="00785491">
      <w:pPr>
        <w:pStyle w:val="Nadpis1"/>
      </w:pPr>
      <w:r>
        <w:t>Týniště nad Orlicí – Meziměstí – Br</w:t>
      </w:r>
      <w:r w:rsidR="003C230C">
        <w:t>o</w:t>
      </w:r>
      <w:r>
        <w:t>umov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0" w:name="_Hlk41545286"/>
      <w:r>
        <w:t>Úvod</w:t>
      </w:r>
    </w:p>
    <w:p w14:paraId="6E80329C" w14:textId="77777777" w:rsidR="00E3376B" w:rsidRPr="00E3376B" w:rsidRDefault="00E3376B" w:rsidP="00E3376B"/>
    <w:bookmarkEnd w:id="0"/>
    <w:p w14:paraId="27CBEA2D" w14:textId="3E4E864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C07255">
        <w:t>ho</w:t>
      </w:r>
      <w:r>
        <w:t xml:space="preserve"> profil</w:t>
      </w:r>
      <w:r w:rsidR="00C07255">
        <w:t>u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>
        <w:t xml:space="preserve"> 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629F273" w14:textId="77777777" w:rsidR="009A6649" w:rsidRDefault="009A6649" w:rsidP="00A87B84">
      <w:pPr>
        <w:ind w:left="426"/>
        <w:jc w:val="both"/>
      </w:pPr>
    </w:p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70A68BFC" w:rsidR="00785491" w:rsidRPr="00C07255" w:rsidRDefault="00785491" w:rsidP="009A6649">
      <w:pPr>
        <w:spacing w:after="0"/>
        <w:ind w:left="425"/>
      </w:pPr>
      <w:r w:rsidRPr="00C07255">
        <w:t xml:space="preserve">TÚ </w:t>
      </w:r>
      <w:r w:rsidR="00082C3F">
        <w:t>156</w:t>
      </w:r>
      <w:r w:rsidR="001669A5">
        <w:t>1</w:t>
      </w:r>
      <w:r w:rsidRPr="00C07255">
        <w:t xml:space="preserve"> </w:t>
      </w:r>
      <w:r w:rsidR="00082C3F">
        <w:t>Týniště nad Orlicí</w:t>
      </w:r>
      <w:r w:rsidR="00234C26" w:rsidRPr="00C07255">
        <w:t xml:space="preserve"> (mimo) – </w:t>
      </w:r>
      <w:r w:rsidR="00082C3F">
        <w:t>Mez</w:t>
      </w:r>
      <w:r w:rsidR="00370AED">
        <w:t>i</w:t>
      </w:r>
      <w:r w:rsidR="00082C3F">
        <w:t>městí</w:t>
      </w:r>
      <w:r w:rsidR="003822A9">
        <w:t xml:space="preserve"> </w:t>
      </w:r>
      <w:r w:rsidR="00234C26" w:rsidRPr="00C07255">
        <w:t>(</w:t>
      </w:r>
      <w:r w:rsidR="00082C3F">
        <w:t>včetně</w:t>
      </w:r>
      <w:r w:rsidR="00234C26" w:rsidRPr="00C07255">
        <w:t>)</w:t>
      </w:r>
    </w:p>
    <w:p w14:paraId="1A15EFBE" w14:textId="3DFD60B9" w:rsidR="00785491" w:rsidRDefault="00785491" w:rsidP="00922A7F">
      <w:pPr>
        <w:spacing w:after="0"/>
        <w:ind w:left="425"/>
      </w:pPr>
      <w:r w:rsidRPr="00C07255">
        <w:t xml:space="preserve">km </w:t>
      </w:r>
      <w:r w:rsidR="00370AED">
        <w:t>24,454</w:t>
      </w:r>
      <w:r w:rsidRPr="00C07255">
        <w:t xml:space="preserve"> (</w:t>
      </w:r>
      <w:r w:rsidR="003822A9">
        <w:t>Z</w:t>
      </w:r>
      <w:r w:rsidRPr="00C07255">
        <w:t>V</w:t>
      </w:r>
      <w:r w:rsidR="00370AED">
        <w:t>4</w:t>
      </w:r>
      <w:r w:rsidR="009A6649">
        <w:t>6</w:t>
      </w:r>
      <w:r w:rsidRPr="00C07255">
        <w:t xml:space="preserve"> v </w:t>
      </w:r>
      <w:proofErr w:type="spellStart"/>
      <w:r w:rsidRPr="00C07255">
        <w:t>žst</w:t>
      </w:r>
      <w:proofErr w:type="spellEnd"/>
      <w:r w:rsidRPr="00C07255">
        <w:t xml:space="preserve">. </w:t>
      </w:r>
      <w:r w:rsidR="00370AED">
        <w:t>Týniště nad Orlicí</w:t>
      </w:r>
      <w:r w:rsidRPr="00C07255">
        <w:t xml:space="preserve">) – </w:t>
      </w:r>
      <w:r w:rsidR="00922A7F">
        <w:t>90,163</w:t>
      </w:r>
      <w:r w:rsidRPr="00C07255">
        <w:t xml:space="preserve"> (</w:t>
      </w:r>
      <w:r w:rsidR="00922A7F">
        <w:t>K</w:t>
      </w:r>
      <w:r w:rsidR="009A6649">
        <w:t>V</w:t>
      </w:r>
      <w:r w:rsidR="00922A7F">
        <w:t>1</w:t>
      </w:r>
      <w:r w:rsidR="009A6649">
        <w:t xml:space="preserve"> v </w:t>
      </w:r>
      <w:proofErr w:type="spellStart"/>
      <w:r w:rsidR="009A6649">
        <w:t>žst</w:t>
      </w:r>
      <w:proofErr w:type="spellEnd"/>
      <w:r w:rsidR="009A6649">
        <w:t xml:space="preserve">. </w:t>
      </w:r>
      <w:r w:rsidR="00922A7F">
        <w:t>Meziměstí</w:t>
      </w:r>
      <w:r w:rsidRPr="00C07255">
        <w:t>)</w:t>
      </w:r>
    </w:p>
    <w:p w14:paraId="10BF37B1" w14:textId="19ACF759" w:rsidR="00922A7F" w:rsidRDefault="00922A7F" w:rsidP="00922A7F">
      <w:pPr>
        <w:spacing w:after="0"/>
        <w:ind w:left="425"/>
      </w:pPr>
      <w:r>
        <w:t xml:space="preserve">km 0,042 </w:t>
      </w:r>
      <w:r w:rsidRPr="00C07255">
        <w:t>(</w:t>
      </w:r>
      <w:r>
        <w:t>KV1 v </w:t>
      </w:r>
      <w:proofErr w:type="spellStart"/>
      <w:r>
        <w:t>žst</w:t>
      </w:r>
      <w:proofErr w:type="spellEnd"/>
      <w:r>
        <w:t>. Meziměstí</w:t>
      </w:r>
      <w:r w:rsidRPr="00C07255">
        <w:t>)</w:t>
      </w:r>
      <w:r>
        <w:t xml:space="preserve"> – km 0,509 (KV38 v </w:t>
      </w:r>
      <w:proofErr w:type="spellStart"/>
      <w:r>
        <w:t>žst</w:t>
      </w:r>
      <w:proofErr w:type="spellEnd"/>
      <w:r>
        <w:t>. Meziměstí)</w:t>
      </w:r>
    </w:p>
    <w:p w14:paraId="569B12AE" w14:textId="444A2507" w:rsidR="00785491" w:rsidRDefault="00922A7F" w:rsidP="00922A7F">
      <w:pPr>
        <w:ind w:left="426"/>
      </w:pPr>
      <w:r>
        <w:t>km 0,793 (KV38 v </w:t>
      </w:r>
      <w:proofErr w:type="spellStart"/>
      <w:r>
        <w:t>žst</w:t>
      </w:r>
      <w:proofErr w:type="spellEnd"/>
      <w:r>
        <w:t>. Meziměstí) – km 1,643 (KV57 v </w:t>
      </w:r>
      <w:proofErr w:type="spellStart"/>
      <w:r>
        <w:t>žst</w:t>
      </w:r>
      <w:proofErr w:type="spellEnd"/>
      <w:r>
        <w:t>. Meziměstí)</w:t>
      </w:r>
    </w:p>
    <w:p w14:paraId="4F4C1826" w14:textId="321F77E8" w:rsidR="003C230C" w:rsidRPr="00C07255" w:rsidRDefault="003C230C" w:rsidP="003C230C">
      <w:pPr>
        <w:spacing w:after="0"/>
        <w:ind w:left="425"/>
      </w:pPr>
      <w:r w:rsidRPr="00C07255">
        <w:t xml:space="preserve">TÚ </w:t>
      </w:r>
      <w:r>
        <w:t>1562</w:t>
      </w:r>
      <w:r w:rsidRPr="00C07255">
        <w:t xml:space="preserve"> </w:t>
      </w:r>
      <w:r>
        <w:t xml:space="preserve">Meziměstí </w:t>
      </w:r>
      <w:r w:rsidRPr="00C07255">
        <w:t>(</w:t>
      </w:r>
      <w:r>
        <w:t>mimo</w:t>
      </w:r>
      <w:r w:rsidRPr="00C07255">
        <w:t>)</w:t>
      </w:r>
      <w:r>
        <w:t xml:space="preserve"> – Broumov (mimo)</w:t>
      </w:r>
    </w:p>
    <w:p w14:paraId="35474A03" w14:textId="38F2E69F" w:rsidR="003C230C" w:rsidRDefault="003C230C" w:rsidP="00A87B84">
      <w:pPr>
        <w:ind w:left="426"/>
      </w:pPr>
      <w:r>
        <w:t>km 1,643 (KV57 v </w:t>
      </w:r>
      <w:proofErr w:type="spellStart"/>
      <w:r>
        <w:t>žst</w:t>
      </w:r>
      <w:proofErr w:type="spellEnd"/>
      <w:r>
        <w:t>. Meziměstí)</w:t>
      </w:r>
      <w:r w:rsidRPr="00C07255">
        <w:t xml:space="preserve"> – </w:t>
      </w:r>
      <w:r>
        <w:t>9,865</w:t>
      </w:r>
      <w:r w:rsidRPr="00C07255">
        <w:t xml:space="preserve"> (</w:t>
      </w:r>
      <w:r>
        <w:t>ZV1 v </w:t>
      </w:r>
      <w:proofErr w:type="spellStart"/>
      <w:r>
        <w:t>žst</w:t>
      </w:r>
      <w:proofErr w:type="spellEnd"/>
      <w:r>
        <w:t>. Broumov</w:t>
      </w:r>
      <w:r w:rsidRPr="00C07255">
        <w:t>)</w:t>
      </w:r>
    </w:p>
    <w:p w14:paraId="0BB666FD" w14:textId="77777777" w:rsidR="00922A7F" w:rsidRDefault="00922A7F" w:rsidP="00922A7F">
      <w:pPr>
        <w:ind w:left="426"/>
      </w:pPr>
    </w:p>
    <w:p w14:paraId="16288211" w14:textId="46988C7A" w:rsidR="00785491" w:rsidRDefault="00E3376B" w:rsidP="00785491">
      <w:pPr>
        <w:pStyle w:val="Nadpis5"/>
        <w:numPr>
          <w:ilvl w:val="0"/>
          <w:numId w:val="34"/>
        </w:numPr>
      </w:pPr>
      <w:r w:rsidRPr="00E3376B">
        <w:t xml:space="preserve">Specifikace předmětu </w:t>
      </w:r>
      <w:r w:rsidR="00783A25">
        <w:t>veřejné zakázky</w:t>
      </w:r>
      <w:r w:rsidR="00785491" w:rsidRPr="00FE778F">
        <w:t>:</w:t>
      </w:r>
    </w:p>
    <w:p w14:paraId="2B128C63" w14:textId="77777777" w:rsidR="00785491" w:rsidRDefault="00785491" w:rsidP="00785491"/>
    <w:p w14:paraId="01A06D03" w14:textId="177EA653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1" w:name="_Hlk41556197"/>
      <w:r w:rsidR="003F7B60">
        <w:t>V</w:t>
      </w:r>
      <w:r w:rsidR="003C230C">
        <w:t xml:space="preserve"> a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bookmarkEnd w:id="1"/>
      <w:r w:rsidR="003C230C">
        <w:rPr>
          <w:vertAlign w:val="subscript"/>
        </w:rPr>
        <w:t xml:space="preserve"> </w:t>
      </w:r>
      <w:r w:rsidR="00785491" w:rsidRPr="00FE778F">
        <w:t xml:space="preserve">dle pokynu GŘ č. 16/2013 a jeho projednání s dotčenými odbory Generálního ředitelství </w:t>
      </w:r>
      <w:bookmarkStart w:id="2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2"/>
      <w:r w:rsidR="003513D2" w:rsidRPr="00F97030">
        <w:t xml:space="preserve"> (dále jen GŘ)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>v</w:t>
      </w:r>
      <w:r w:rsidR="003F7B60">
        <w:t> Hradci Králové</w:t>
      </w:r>
      <w:r w:rsidR="00E24720" w:rsidRPr="00E24720">
        <w:t xml:space="preserve"> (dále jen OŘ </w:t>
      </w:r>
      <w:r w:rsidR="003C230C">
        <w:t>HKR</w:t>
      </w:r>
      <w:r w:rsidR="00E24720" w:rsidRPr="00E24720">
        <w:t>)</w:t>
      </w:r>
      <w:r w:rsidR="00785491" w:rsidRPr="00FE778F">
        <w:t xml:space="preserve">. Vyhotovený směrodatný rychlostní profil bude dále využíván </w:t>
      </w:r>
      <w:r w:rsidR="00783A25">
        <w:t>zadavatelem</w:t>
      </w:r>
      <w:r w:rsidR="00785491" w:rsidRPr="00FE778F">
        <w:t xml:space="preserve"> pro následné </w:t>
      </w:r>
      <w:r w:rsidR="00785491" w:rsidRPr="00FE778F">
        <w:lastRenderedPageBreak/>
        <w:t>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>a navrhovaný 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7E681D46" w:rsidR="00785491" w:rsidRPr="00672FD0" w:rsidRDefault="00785491" w:rsidP="00785491">
      <w:pPr>
        <w:pStyle w:val="Odstavecseseznamem"/>
        <w:numPr>
          <w:ilvl w:val="0"/>
          <w:numId w:val="35"/>
        </w:numPr>
      </w:pPr>
      <w:r w:rsidRPr="00672FD0">
        <w:t xml:space="preserve">staničení – staničení bude </w:t>
      </w:r>
      <w:r w:rsidR="00672FD0">
        <w:t>na začátku</w:t>
      </w:r>
      <w:r w:rsidR="003C230C">
        <w:t xml:space="preserve"> každého dílčího úseku (ZV46 v </w:t>
      </w:r>
      <w:proofErr w:type="spellStart"/>
      <w:r w:rsidR="003C230C">
        <w:t>žst</w:t>
      </w:r>
      <w:proofErr w:type="spellEnd"/>
      <w:r w:rsidR="00672FD0">
        <w:t xml:space="preserve"> </w:t>
      </w:r>
      <w:r w:rsidR="003C230C">
        <w:t>Týniště nad Orlicí,</w:t>
      </w:r>
      <w:r w:rsidR="003C230C" w:rsidRPr="00672FD0">
        <w:t xml:space="preserve"> </w:t>
      </w:r>
      <w:r w:rsidR="003C230C">
        <w:t>KV1 v </w:t>
      </w:r>
      <w:proofErr w:type="spellStart"/>
      <w:r w:rsidR="003C230C">
        <w:t>žst</w:t>
      </w:r>
      <w:proofErr w:type="spellEnd"/>
      <w:r w:rsidR="003C230C">
        <w:t>. Meziměstí, KV38 v </w:t>
      </w:r>
      <w:proofErr w:type="spellStart"/>
      <w:r w:rsidR="003C230C">
        <w:t>žst</w:t>
      </w:r>
      <w:proofErr w:type="spellEnd"/>
      <w:r w:rsidR="003C230C">
        <w:t xml:space="preserve">. Meziměstí) </w:t>
      </w:r>
      <w:r w:rsidRPr="00672FD0">
        <w:t xml:space="preserve">převzato z podkladů dodaných </w:t>
      </w:r>
      <w:r w:rsidR="00783A25">
        <w:t xml:space="preserve">Správou železniční geodézie (dále jen </w:t>
      </w:r>
      <w:r w:rsidRPr="00672FD0">
        <w:t>SŽG</w:t>
      </w:r>
      <w:r w:rsidR="00783A25">
        <w:t>)</w:t>
      </w:r>
      <w:bookmarkStart w:id="3" w:name="_GoBack"/>
      <w:bookmarkEnd w:id="3"/>
      <w:r w:rsidR="00A21DBD">
        <w:t xml:space="preserve"> a dále </w:t>
      </w:r>
      <w:r w:rsidR="00672FD0">
        <w:t>bude probíhat lineárně bez skoků</w:t>
      </w:r>
    </w:p>
    <w:p w14:paraId="7946B605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návrhové rychlosti:</w:t>
      </w:r>
    </w:p>
    <w:p w14:paraId="28C1DF85" w14:textId="2D2689E6" w:rsidR="00785491" w:rsidRDefault="00785491" w:rsidP="00785491">
      <w:pPr>
        <w:pStyle w:val="Odstavecseseznamem"/>
        <w:numPr>
          <w:ilvl w:val="0"/>
          <w:numId w:val="36"/>
        </w:numPr>
      </w:pPr>
      <w:r w:rsidRPr="00B858A6">
        <w:t xml:space="preserve">stávající traťová </w:t>
      </w:r>
      <w:r w:rsidR="00F34EE0">
        <w:t xml:space="preserve">rychlost </w:t>
      </w:r>
      <w:r w:rsidR="009A6649">
        <w:t>bude převzata z tabul</w:t>
      </w:r>
      <w:r w:rsidR="003F7B60">
        <w:t>ek</w:t>
      </w:r>
      <w:r w:rsidRPr="00B858A6">
        <w:t xml:space="preserve"> </w:t>
      </w:r>
      <w:r w:rsidRPr="00F34EE0">
        <w:t>č.</w:t>
      </w:r>
      <w:r w:rsidR="00F97030" w:rsidRPr="00F34EE0">
        <w:t>6</w:t>
      </w:r>
      <w:r w:rsidR="003F7B60">
        <w:t>b</w:t>
      </w:r>
      <w:r w:rsidR="00F97030" w:rsidRPr="00F34EE0">
        <w:t xml:space="preserve"> </w:t>
      </w:r>
      <w:r w:rsidRPr="00F34EE0">
        <w:t>TTP</w:t>
      </w:r>
      <w:r w:rsidR="003F7B60">
        <w:t xml:space="preserve"> 50</w:t>
      </w:r>
      <w:r w:rsidR="003C230C">
        <w:t>6</w:t>
      </w:r>
      <w:r w:rsidR="003F7B60">
        <w:t xml:space="preserve">A a </w:t>
      </w:r>
      <w:r w:rsidR="003C230C">
        <w:t>č. 6a TTP </w:t>
      </w:r>
      <w:r w:rsidR="003F7B60">
        <w:t>510A</w:t>
      </w:r>
      <w:r w:rsidR="00444B4E">
        <w:t>,</w:t>
      </w:r>
    </w:p>
    <w:p w14:paraId="30A8B4FA" w14:textId="07777E78" w:rsidR="00785491" w:rsidRDefault="00785491" w:rsidP="00785491">
      <w:pPr>
        <w:pStyle w:val="Odstavecseseznamem"/>
        <w:numPr>
          <w:ilvl w:val="0"/>
          <w:numId w:val="36"/>
        </w:numPr>
        <w:jc w:val="both"/>
      </w:pPr>
      <w:r w:rsidRPr="00B858A6">
        <w:t xml:space="preserve">návrhové rychlosti </w:t>
      </w:r>
      <w:bookmarkStart w:id="4" w:name="_Hlk41560547"/>
      <w:r w:rsidR="00F97030" w:rsidRPr="00672FD0">
        <w:t xml:space="preserve">V </w:t>
      </w:r>
      <w:r w:rsidR="00672FD0" w:rsidRPr="00672FD0">
        <w:t>a</w:t>
      </w:r>
      <w:r w:rsidR="00F97030" w:rsidRPr="00672FD0">
        <w:t xml:space="preserve"> </w:t>
      </w:r>
      <w:bookmarkStart w:id="5" w:name="_Hlk41557755"/>
      <w:r w:rsidR="00F97030" w:rsidRPr="00672FD0">
        <w:t>V</w:t>
      </w:r>
      <w:r w:rsidR="00F97030" w:rsidRPr="00672FD0">
        <w:rPr>
          <w:vertAlign w:val="subscript"/>
        </w:rPr>
        <w:t>130</w:t>
      </w:r>
      <w:bookmarkEnd w:id="5"/>
      <w:bookmarkEnd w:id="4"/>
      <w:r w:rsidRPr="00B858A6">
        <w:t xml:space="preserve"> budou předmětem návrhu zpracovatele, maximální návrhová rychlost je </w:t>
      </w:r>
      <w:r w:rsidR="003513D2" w:rsidRPr="00F97030">
        <w:t>předpokládána</w:t>
      </w:r>
      <w:r w:rsidRPr="00B858A6">
        <w:t xml:space="preserve"> </w:t>
      </w:r>
      <w:r w:rsidRPr="00672FD0">
        <w:t>10</w:t>
      </w:r>
      <w:r w:rsidR="003C230C">
        <w:t>0</w:t>
      </w:r>
      <w:r w:rsidRPr="00672FD0">
        <w:t xml:space="preserve"> km/h</w:t>
      </w:r>
      <w:r w:rsidR="00444B4E">
        <w:t xml:space="preserve">. </w:t>
      </w:r>
      <w:r w:rsidR="00444B4E" w:rsidRPr="00444B4E">
        <w:t>V případě, že se na základě posouzení dynamických křivek definovaných vozidel prokáže využitelná i vyšší rychlost, bude možné navýšení rychlosti projednáno s GŘ a OŘ</w:t>
      </w:r>
      <w:r w:rsidR="00444B4E">
        <w:t xml:space="preserve"> </w:t>
      </w:r>
      <w:bookmarkStart w:id="6" w:name="_Hlk41557409"/>
      <w:r w:rsidR="003F7B60">
        <w:t>HKR</w:t>
      </w:r>
      <w:r w:rsidR="00672FD0">
        <w:t>,</w:t>
      </w:r>
    </w:p>
    <w:p w14:paraId="5333B57C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 úpravy směrových poměrů:</w:t>
      </w:r>
    </w:p>
    <w:p w14:paraId="01C627A6" w14:textId="376B42C6" w:rsidR="00785491" w:rsidRDefault="00785491" w:rsidP="00785491">
      <w:pPr>
        <w:pStyle w:val="Odstavecseseznamem"/>
        <w:numPr>
          <w:ilvl w:val="0"/>
          <w:numId w:val="37"/>
        </w:numPr>
      </w:pPr>
      <w:bookmarkStart w:id="7" w:name="_Hlk41557444"/>
      <w:r w:rsidRPr="00B858A6">
        <w:t>stávající směrové poměry budou převzaty z podkladů dodaných SŽG</w:t>
      </w:r>
      <w:r w:rsidR="00444B4E">
        <w:t>,</w:t>
      </w:r>
    </w:p>
    <w:bookmarkEnd w:id="6"/>
    <w:bookmarkEnd w:id="7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B858A6">
        <w:t>v rámci návrhu vyšších rychlostí mohou být upraveny parametry směrových oblouků (poloměr, převýšení, délka přechodnic a vzestupnic)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krátké </w:t>
      </w:r>
      <w:proofErr w:type="spellStart"/>
      <w:r w:rsidRPr="009C2425">
        <w:t>mezipřímé</w:t>
      </w:r>
      <w:proofErr w:type="spellEnd"/>
      <w:r w:rsidRPr="009C2425">
        <w:t xml:space="preserve">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2E4898FF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Pr="00DB371D">
        <w:t>OŘ</w:t>
      </w:r>
      <w:r w:rsidR="00DB371D" w:rsidRPr="00444B4E">
        <w:t xml:space="preserve"> </w:t>
      </w:r>
      <w:r w:rsidR="003F7B60">
        <w:t>HKR</w:t>
      </w:r>
      <w:r w:rsidR="0042694A">
        <w:t>,</w:t>
      </w:r>
    </w:p>
    <w:p w14:paraId="055E8031" w14:textId="67043058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OŘ </w:t>
      </w:r>
      <w:r w:rsidR="003F7B60">
        <w:t>HKR</w:t>
      </w:r>
      <w:r>
        <w:t>,</w:t>
      </w:r>
    </w:p>
    <w:p w14:paraId="29CBB04C" w14:textId="1FEF2F7A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OŘ </w:t>
      </w:r>
      <w:r w:rsidR="003F7B60">
        <w:t>HKR</w:t>
      </w:r>
      <w:r w:rsidRPr="00F34EE0">
        <w:t xml:space="preserve">, u všech nástupišť bude respektováno </w:t>
      </w:r>
      <w:proofErr w:type="spellStart"/>
      <w:r w:rsidRPr="00F34EE0">
        <w:t>D</w:t>
      </w:r>
      <w:r w:rsidRPr="00F34EE0">
        <w:rPr>
          <w:vertAlign w:val="subscript"/>
        </w:rPr>
        <w:t>max</w:t>
      </w:r>
      <w:proofErr w:type="spellEnd"/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8" w:name="_Hlk41557855"/>
      <w:r w:rsidRPr="00F34EE0">
        <w:t>V</w:t>
      </w:r>
      <w:r w:rsidRPr="00F34EE0">
        <w:rPr>
          <w:vertAlign w:val="subscript"/>
        </w:rPr>
        <w:t>130</w:t>
      </w:r>
      <w:bookmarkEnd w:id="8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6D71EB03" w14:textId="77777777" w:rsidR="003F7B6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3F7B60">
        <w:t>:</w:t>
      </w:r>
    </w:p>
    <w:p w14:paraId="440DD5CC" w14:textId="56FFF2FA" w:rsidR="00396090" w:rsidRDefault="00F34EE0" w:rsidP="003F7B60">
      <w:pPr>
        <w:pStyle w:val="Odstavecseseznamem"/>
        <w:numPr>
          <w:ilvl w:val="1"/>
          <w:numId w:val="45"/>
        </w:numPr>
        <w:jc w:val="both"/>
      </w:pPr>
      <w:r w:rsidRPr="00F34EE0">
        <w:t>linka</w:t>
      </w:r>
      <w:r w:rsidR="009A7B34">
        <w:t> </w:t>
      </w:r>
      <w:r w:rsidRPr="00F34EE0">
        <w:t>Os</w:t>
      </w:r>
      <w:r w:rsidR="00396090" w:rsidRPr="00396090">
        <w:t>:</w:t>
      </w:r>
      <w:r>
        <w:t xml:space="preserve"> </w:t>
      </w:r>
      <w:r w:rsidR="003F7B60">
        <w:t>všechny zastávky a železniční stanice</w:t>
      </w:r>
    </w:p>
    <w:p w14:paraId="4AE3A5AB" w14:textId="21BEB450" w:rsidR="003F7B60" w:rsidRDefault="003F7B60" w:rsidP="003C230C">
      <w:pPr>
        <w:pStyle w:val="Odstavecseseznamem"/>
        <w:numPr>
          <w:ilvl w:val="1"/>
          <w:numId w:val="45"/>
        </w:numPr>
        <w:jc w:val="both"/>
      </w:pPr>
      <w:r>
        <w:t xml:space="preserve">Linka R / </w:t>
      </w:r>
      <w:proofErr w:type="spellStart"/>
      <w:r>
        <w:t>Sp</w:t>
      </w:r>
      <w:proofErr w:type="spellEnd"/>
      <w:r>
        <w:t xml:space="preserve">: </w:t>
      </w:r>
      <w:r w:rsidR="003C230C" w:rsidRPr="003C230C">
        <w:t xml:space="preserve">Bolehošť, Opočno p. </w:t>
      </w:r>
      <w:proofErr w:type="spellStart"/>
      <w:r w:rsidR="003C230C" w:rsidRPr="003C230C">
        <w:t>Orl</w:t>
      </w:r>
      <w:proofErr w:type="spellEnd"/>
      <w:r w:rsidR="003C230C" w:rsidRPr="003C230C">
        <w:t>. H., Nové Město n. Met., Václavice, Náchod zastávka, Náchod, Velké Poříčí, Hronov, Police n.</w:t>
      </w:r>
      <w:r w:rsidR="003C230C">
        <w:t> </w:t>
      </w:r>
      <w:r w:rsidR="003C230C" w:rsidRPr="003C230C">
        <w:t>Met., Žďár n. Met., Teplice n. Met., Meziměstí</w:t>
      </w:r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lastRenderedPageBreak/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2A5B4FF6" w14:textId="2C1829BF" w:rsidR="009A6649" w:rsidRDefault="009A6649">
      <w:pPr>
        <w:rPr>
          <w:rFonts w:asciiTheme="majorHAnsi" w:eastAsiaTheme="majorEastAsia" w:hAnsiTheme="majorHAnsi" w:cstheme="majorBidi"/>
          <w:b/>
        </w:rPr>
      </w:pPr>
    </w:p>
    <w:p w14:paraId="21B88B58" w14:textId="4FF2A2C5" w:rsidR="00785491" w:rsidRDefault="00785491" w:rsidP="00785491">
      <w:pPr>
        <w:pStyle w:val="Nadpis5"/>
        <w:numPr>
          <w:ilvl w:val="0"/>
          <w:numId w:val="34"/>
        </w:numPr>
      </w:pPr>
      <w:r w:rsidRPr="009C2425">
        <w:t>Podklady poskytnuté zadavatelem: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3E7F956F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</w:t>
      </w:r>
      <w:r w:rsidR="009A6649">
        <w:t>k</w:t>
      </w:r>
      <w:r w:rsidR="003F7B60">
        <w:t>y</w:t>
      </w:r>
      <w:r w:rsidRPr="009C2425">
        <w:t xml:space="preserve"> č.</w:t>
      </w:r>
      <w:r w:rsidR="001F4791" w:rsidRPr="00F34EE0">
        <w:t>6</w:t>
      </w:r>
      <w:r w:rsidR="003F7B60">
        <w:t>b</w:t>
      </w:r>
      <w:r w:rsidRPr="009C2425">
        <w:t xml:space="preserve"> TTP (tabulky traťových poměrů)</w:t>
      </w:r>
      <w:r w:rsidR="00F34EE0">
        <w:t xml:space="preserve"> </w:t>
      </w:r>
      <w:r w:rsidR="003F7B60">
        <w:t>50</w:t>
      </w:r>
      <w:r w:rsidR="003C230C">
        <w:t>6</w:t>
      </w:r>
      <w:r w:rsidR="003F7B60">
        <w:t xml:space="preserve">A a </w:t>
      </w:r>
      <w:r w:rsidR="003C230C">
        <w:t xml:space="preserve">č. 6a </w:t>
      </w:r>
      <w:r w:rsidR="003F7B60">
        <w:t>5</w:t>
      </w:r>
      <w:r w:rsidR="003C230C">
        <w:t>06B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08CE8C20" w14:textId="5DC1B34A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45150C6F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88248E">
        <w:t>V</w:t>
      </w:r>
      <w:r w:rsidR="003C230C">
        <w:t xml:space="preserve"> 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D90BF4" w:rsidRPr="002044D3">
        <w:t>, v</w:t>
      </w:r>
      <w:r w:rsidR="007A43B9" w:rsidRPr="002044D3">
        <w:t xml:space="preserve">iz výše, doplněné o součinitel změny nedostatku převýšení v násobcích rychlosti a délky </w:t>
      </w:r>
      <w:proofErr w:type="spellStart"/>
      <w:r w:rsidR="007A43B9" w:rsidRPr="002044D3">
        <w:t>mezipřímých</w:t>
      </w:r>
      <w:proofErr w:type="spellEnd"/>
      <w:r w:rsidR="007A43B9" w:rsidRPr="002044D3">
        <w:t xml:space="preserve">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 xml:space="preserve">, omezení převýšení v nástupišti, v obloukovém </w:t>
      </w:r>
      <w:proofErr w:type="spellStart"/>
      <w:r w:rsidRPr="00D90BF4">
        <w:t>zhlaví</w:t>
      </w:r>
      <w:proofErr w:type="spellEnd"/>
      <w:r w:rsidRPr="00D90BF4">
        <w:t xml:space="preserve">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 xml:space="preserve">popisem základními základních </w:t>
      </w:r>
      <w:proofErr w:type="gramStart"/>
      <w:r w:rsidR="00596226" w:rsidRPr="00D90BF4">
        <w:t>směrovými</w:t>
      </w:r>
      <w:proofErr w:type="gramEnd"/>
      <w:r w:rsidR="00596226" w:rsidRPr="00D90BF4">
        <w:t xml:space="preserve">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0634FF48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3F7B60">
        <w:t>V</w:t>
      </w:r>
      <w:r w:rsidR="003C230C">
        <w:t xml:space="preserve"> a</w:t>
      </w:r>
      <w:r w:rsidR="003F7B60">
        <w:t xml:space="preserve"> </w:t>
      </w:r>
      <w:r w:rsidR="00D90BF4" w:rsidRPr="002044D3">
        <w:t>V</w:t>
      </w:r>
      <w:r w:rsidR="00D90BF4" w:rsidRPr="002044D3">
        <w:rPr>
          <w:vertAlign w:val="subscript"/>
        </w:rPr>
        <w:t>130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6F8BE951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3F7B60">
        <w:t>V</w:t>
      </w:r>
      <w:r w:rsidR="003C230C">
        <w:t xml:space="preserve"> a </w:t>
      </w:r>
      <w:r w:rsidR="00D90BF4" w:rsidRPr="002044D3">
        <w:t>V</w:t>
      </w:r>
      <w:r w:rsidR="00D90BF4" w:rsidRPr="002044D3">
        <w:rPr>
          <w:vertAlign w:val="subscript"/>
        </w:rPr>
        <w:t>130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 xml:space="preserve">– jejich specifikace – viz </w:t>
      </w:r>
      <w:proofErr w:type="gramStart"/>
      <w:r w:rsidR="00E24720" w:rsidRPr="00E24720">
        <w:t>odst.</w:t>
      </w:r>
      <w:r w:rsidR="00E24720">
        <w:t>8</w:t>
      </w:r>
      <w:r w:rsidR="00E24720" w:rsidRPr="00E24720">
        <w:t>, část</w:t>
      </w:r>
      <w:proofErr w:type="gramEnd"/>
      <w:r w:rsidR="00E24720" w:rsidRPr="00E24720">
        <w:t xml:space="preserve"> „Odevzdání dokumentace“</w:t>
      </w:r>
    </w:p>
    <w:p w14:paraId="26108898" w14:textId="3F2A627F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FB6A0A">
        <w:t>HKR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7C3B801E" w:rsidR="00785491" w:rsidRDefault="00785491" w:rsidP="00785491">
      <w:pPr>
        <w:pStyle w:val="Odstavecseseznamem"/>
        <w:jc w:val="both"/>
      </w:pPr>
      <w:r w:rsidRPr="00FC0F2A">
        <w:t xml:space="preserve">Dokumentace (v digitální formě) k připomínkám bude umístěna </w:t>
      </w:r>
      <w:proofErr w:type="gramStart"/>
      <w:r w:rsidRPr="00FC0F2A">
        <w:t>na</w:t>
      </w:r>
      <w:proofErr w:type="gramEnd"/>
      <w:r w:rsidRPr="00FC0F2A">
        <w:t xml:space="preserve">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 </w:t>
      </w:r>
      <w:r w:rsidRPr="002044D3">
        <w:t xml:space="preserve">Oblastní ředitelství </w:t>
      </w:r>
      <w:r w:rsidR="0088248E">
        <w:t>Hradec Králové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5285791C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Oblastním ředitelství</w:t>
      </w:r>
      <w:r w:rsidR="00FF00E9">
        <w:t xml:space="preserve"> </w:t>
      </w:r>
      <w:r w:rsidR="0088248E">
        <w:t>Hradec Králové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</w:t>
      </w:r>
      <w:proofErr w:type="spellStart"/>
      <w:r w:rsidRPr="005B1BA2">
        <w:t>dgn</w:t>
      </w:r>
      <w:proofErr w:type="spellEnd"/>
      <w:r w:rsidRPr="005B1BA2">
        <w:t xml:space="preserve"> (</w:t>
      </w:r>
      <w:proofErr w:type="spellStart"/>
      <w:r w:rsidRPr="005B1BA2">
        <w:t>Microstation</w:t>
      </w:r>
      <w:proofErr w:type="spellEnd"/>
      <w:r w:rsidRPr="005B1BA2">
        <w:t>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</w:t>
      </w:r>
      <w:proofErr w:type="spellStart"/>
      <w:r w:rsidRPr="005B1BA2">
        <w:t>dwg</w:t>
      </w:r>
      <w:proofErr w:type="spellEnd"/>
      <w:r w:rsidRPr="005B1BA2">
        <w:t>, *.doc, *.</w:t>
      </w:r>
      <w:proofErr w:type="spellStart"/>
      <w:r w:rsidRPr="005B1BA2">
        <w:t>xls</w:t>
      </w:r>
      <w:proofErr w:type="spellEnd"/>
      <w:r w:rsidRPr="005B1BA2">
        <w:t>, popř. *.</w:t>
      </w:r>
      <w:proofErr w:type="spellStart"/>
      <w:r w:rsidRPr="005B1BA2">
        <w:t>docx</w:t>
      </w:r>
      <w:proofErr w:type="spellEnd"/>
      <w:r w:rsidRPr="005B1BA2">
        <w:t>, *.</w:t>
      </w:r>
      <w:proofErr w:type="spellStart"/>
      <w:r w:rsidRPr="005B1BA2">
        <w:t>xlsx</w:t>
      </w:r>
      <w:proofErr w:type="spellEnd"/>
      <w:r w:rsidRPr="005B1BA2">
        <w:t xml:space="preserve">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662D3567" w:rsidR="00785491" w:rsidRPr="005B1BA2" w:rsidRDefault="00F22DBE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3916D9CC" w:rsidR="00785491" w:rsidRPr="005B1BA2" w:rsidRDefault="00F22DBE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DDBBAA" w15:done="0"/>
  <w15:commentEx w15:paraId="1F3A99AD" w15:done="0"/>
  <w15:commentEx w15:paraId="203975F5" w15:done="0"/>
  <w15:commentEx w15:paraId="074D5167" w15:done="0"/>
  <w15:commentEx w15:paraId="6865FE2D" w15:done="0"/>
  <w15:commentEx w15:paraId="7205EB61" w15:done="0"/>
  <w15:commentEx w15:paraId="3D45409C" w15:done="0"/>
  <w15:commentEx w15:paraId="6468E836" w15:done="0"/>
  <w15:commentEx w15:paraId="07971E0B" w15:done="0"/>
  <w15:commentEx w15:paraId="1935D813" w15:done="0"/>
  <w15:commentEx w15:paraId="5364C8DF" w15:done="0"/>
  <w15:commentEx w15:paraId="17A82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A5678" w16cex:dateUtc="2020-05-28T13:25:00Z"/>
  <w16cex:commentExtensible w16cex:durableId="227A1891" w16cex:dateUtc="2020-05-28T09:01:00Z"/>
  <w16cex:commentExtensible w16cex:durableId="227A1A3D" w16cex:dateUtc="2020-05-28T09:08:00Z"/>
  <w16cex:commentExtensible w16cex:durableId="227A1E11" w16cex:dateUtc="2020-05-28T09:25:00Z"/>
  <w16cex:commentExtensible w16cex:durableId="227A205B" w16cex:dateUtc="2020-05-28T09:34:00Z"/>
  <w16cex:commentExtensible w16cex:durableId="227A28A5" w16cex:dateUtc="2020-05-28T10:10:00Z"/>
  <w16cex:commentExtensible w16cex:durableId="227A28F0" w16cex:dateUtc="2020-05-28T10:11:00Z"/>
  <w16cex:commentExtensible w16cex:durableId="2263986B" w16cex:dateUtc="2020-05-11T07:24:00Z"/>
  <w16cex:commentExtensible w16cex:durableId="22639ABF" w16cex:dateUtc="2020-05-11T07:34:00Z"/>
  <w16cex:commentExtensible w16cex:durableId="227A2EBE" w16cex:dateUtc="2020-05-28T10:36:00Z"/>
  <w16cex:commentExtensible w16cex:durableId="227A2FF1" w16cex:dateUtc="2020-05-28T10:41:00Z"/>
  <w16cex:commentExtensible w16cex:durableId="227A50C0" w16cex:dateUtc="2020-05-28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DDBBAA" w16cid:durableId="227A5678"/>
  <w16cid:commentId w16cid:paraId="1F3A99AD" w16cid:durableId="227A1891"/>
  <w16cid:commentId w16cid:paraId="203975F5" w16cid:durableId="227A1A3D"/>
  <w16cid:commentId w16cid:paraId="074D5167" w16cid:durableId="227A1E11"/>
  <w16cid:commentId w16cid:paraId="6865FE2D" w16cid:durableId="227A205B"/>
  <w16cid:commentId w16cid:paraId="7205EB61" w16cid:durableId="227A28A5"/>
  <w16cid:commentId w16cid:paraId="3D45409C" w16cid:durableId="227A28F0"/>
  <w16cid:commentId w16cid:paraId="6468E836" w16cid:durableId="2263986B"/>
  <w16cid:commentId w16cid:paraId="07971E0B" w16cid:durableId="22639ABF"/>
  <w16cid:commentId w16cid:paraId="1935D813" w16cid:durableId="227A2EBE"/>
  <w16cid:commentId w16cid:paraId="5364C8DF" w16cid:durableId="227A2FF1"/>
  <w16cid:commentId w16cid:paraId="17A8211E" w16cid:durableId="227A50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9B4B3" w14:textId="77777777" w:rsidR="000845F4" w:rsidRDefault="000845F4" w:rsidP="00962258">
      <w:pPr>
        <w:spacing w:after="0" w:line="240" w:lineRule="auto"/>
      </w:pPr>
      <w:r>
        <w:separator/>
      </w:r>
    </w:p>
  </w:endnote>
  <w:endnote w:type="continuationSeparator" w:id="0">
    <w:p w14:paraId="67DB67FC" w14:textId="77777777" w:rsidR="000845F4" w:rsidRDefault="000845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A2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A2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3FCB6D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F50C97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A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A2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D69C" w14:textId="77777777" w:rsidR="000845F4" w:rsidRDefault="000845F4" w:rsidP="00962258">
      <w:pPr>
        <w:spacing w:after="0" w:line="240" w:lineRule="auto"/>
      </w:pPr>
      <w:r>
        <w:separator/>
      </w:r>
    </w:p>
  </w:footnote>
  <w:footnote w:type="continuationSeparator" w:id="0">
    <w:p w14:paraId="1B67C87A" w14:textId="77777777" w:rsidR="000845F4" w:rsidRDefault="000845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72C1E"/>
    <w:rsid w:val="0008260A"/>
    <w:rsid w:val="00082C3F"/>
    <w:rsid w:val="000845F4"/>
    <w:rsid w:val="00091191"/>
    <w:rsid w:val="000A75DB"/>
    <w:rsid w:val="000E23A7"/>
    <w:rsid w:val="000E6E75"/>
    <w:rsid w:val="00103621"/>
    <w:rsid w:val="0010693F"/>
    <w:rsid w:val="00114472"/>
    <w:rsid w:val="001415D5"/>
    <w:rsid w:val="001550BC"/>
    <w:rsid w:val="001605B9"/>
    <w:rsid w:val="001669A5"/>
    <w:rsid w:val="00170EC5"/>
    <w:rsid w:val="001747C1"/>
    <w:rsid w:val="00184743"/>
    <w:rsid w:val="0019661E"/>
    <w:rsid w:val="001F4791"/>
    <w:rsid w:val="002044D3"/>
    <w:rsid w:val="00207DF5"/>
    <w:rsid w:val="00210D2D"/>
    <w:rsid w:val="00234C26"/>
    <w:rsid w:val="002554E4"/>
    <w:rsid w:val="00260638"/>
    <w:rsid w:val="00280E07"/>
    <w:rsid w:val="002A0E25"/>
    <w:rsid w:val="002C31BF"/>
    <w:rsid w:val="002D08B1"/>
    <w:rsid w:val="002E01A0"/>
    <w:rsid w:val="002E0CD7"/>
    <w:rsid w:val="003146CE"/>
    <w:rsid w:val="00341DCF"/>
    <w:rsid w:val="003513D2"/>
    <w:rsid w:val="00357BC6"/>
    <w:rsid w:val="00370AED"/>
    <w:rsid w:val="00377E2B"/>
    <w:rsid w:val="003822A9"/>
    <w:rsid w:val="0039061E"/>
    <w:rsid w:val="003956C6"/>
    <w:rsid w:val="00396090"/>
    <w:rsid w:val="003C230C"/>
    <w:rsid w:val="003F7B60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60660"/>
    <w:rsid w:val="0046636F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23EA7"/>
    <w:rsid w:val="00553375"/>
    <w:rsid w:val="0055638F"/>
    <w:rsid w:val="005736B7"/>
    <w:rsid w:val="00575E5A"/>
    <w:rsid w:val="00596226"/>
    <w:rsid w:val="005B1BA2"/>
    <w:rsid w:val="005F1404"/>
    <w:rsid w:val="00607500"/>
    <w:rsid w:val="0061068E"/>
    <w:rsid w:val="0061603A"/>
    <w:rsid w:val="006176AF"/>
    <w:rsid w:val="0063322B"/>
    <w:rsid w:val="00660AD3"/>
    <w:rsid w:val="00672FD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43525"/>
    <w:rsid w:val="0076286B"/>
    <w:rsid w:val="00766846"/>
    <w:rsid w:val="0077673A"/>
    <w:rsid w:val="00783A25"/>
    <w:rsid w:val="007846E1"/>
    <w:rsid w:val="00785491"/>
    <w:rsid w:val="007A43B9"/>
    <w:rsid w:val="007A7744"/>
    <w:rsid w:val="007B570C"/>
    <w:rsid w:val="007C589B"/>
    <w:rsid w:val="007E4A6E"/>
    <w:rsid w:val="007E7BDA"/>
    <w:rsid w:val="007F56A7"/>
    <w:rsid w:val="00807DD0"/>
    <w:rsid w:val="00827153"/>
    <w:rsid w:val="008659F3"/>
    <w:rsid w:val="0088248E"/>
    <w:rsid w:val="00886D4B"/>
    <w:rsid w:val="00895406"/>
    <w:rsid w:val="008A2591"/>
    <w:rsid w:val="008A3568"/>
    <w:rsid w:val="008D03B9"/>
    <w:rsid w:val="008D7ABA"/>
    <w:rsid w:val="008F18D6"/>
    <w:rsid w:val="00904780"/>
    <w:rsid w:val="00906D13"/>
    <w:rsid w:val="00922385"/>
    <w:rsid w:val="009223DF"/>
    <w:rsid w:val="00922A7F"/>
    <w:rsid w:val="00936091"/>
    <w:rsid w:val="00940D8A"/>
    <w:rsid w:val="00962258"/>
    <w:rsid w:val="009678B7"/>
    <w:rsid w:val="009833E1"/>
    <w:rsid w:val="00992D9C"/>
    <w:rsid w:val="00996CB8"/>
    <w:rsid w:val="009A6649"/>
    <w:rsid w:val="009A7B34"/>
    <w:rsid w:val="009B14A9"/>
    <w:rsid w:val="009B2E97"/>
    <w:rsid w:val="009E07F4"/>
    <w:rsid w:val="009F392E"/>
    <w:rsid w:val="00A021C0"/>
    <w:rsid w:val="00A21DBD"/>
    <w:rsid w:val="00A26EF6"/>
    <w:rsid w:val="00A44771"/>
    <w:rsid w:val="00A6177B"/>
    <w:rsid w:val="00A66136"/>
    <w:rsid w:val="00A87B84"/>
    <w:rsid w:val="00AA4CBB"/>
    <w:rsid w:val="00AA65FA"/>
    <w:rsid w:val="00AA7351"/>
    <w:rsid w:val="00AD056F"/>
    <w:rsid w:val="00AD6731"/>
    <w:rsid w:val="00B15D0D"/>
    <w:rsid w:val="00B46454"/>
    <w:rsid w:val="00B75A1A"/>
    <w:rsid w:val="00B75EE1"/>
    <w:rsid w:val="00B77481"/>
    <w:rsid w:val="00B8518B"/>
    <w:rsid w:val="00BD7E91"/>
    <w:rsid w:val="00C02D0A"/>
    <w:rsid w:val="00C03A6E"/>
    <w:rsid w:val="00C07255"/>
    <w:rsid w:val="00C31615"/>
    <w:rsid w:val="00C44F6A"/>
    <w:rsid w:val="00C478D5"/>
    <w:rsid w:val="00C47AE3"/>
    <w:rsid w:val="00C571B9"/>
    <w:rsid w:val="00C932E9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A1B25"/>
    <w:rsid w:val="00EB104F"/>
    <w:rsid w:val="00EC2A9C"/>
    <w:rsid w:val="00ED14BD"/>
    <w:rsid w:val="00F0533E"/>
    <w:rsid w:val="00F1048D"/>
    <w:rsid w:val="00F12DEC"/>
    <w:rsid w:val="00F1715C"/>
    <w:rsid w:val="00F22DBE"/>
    <w:rsid w:val="00F2700E"/>
    <w:rsid w:val="00F310F8"/>
    <w:rsid w:val="00F34EE0"/>
    <w:rsid w:val="00F35939"/>
    <w:rsid w:val="00F45607"/>
    <w:rsid w:val="00F659EB"/>
    <w:rsid w:val="00F86BA6"/>
    <w:rsid w:val="00F97030"/>
    <w:rsid w:val="00FB6A0A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sharepoint/v3"/>
    <ds:schemaRef ds:uri="http://purl.org/dc/terms/"/>
    <ds:schemaRef ds:uri="http://purl.org/dc/elements/1.1/"/>
    <ds:schemaRef ds:uri="http://purl.org/dc/dcmitype/"/>
    <ds:schemaRef ds:uri="http://schemas.microsoft.com/sharepoint/v3/field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50845-AEEA-4F87-8037-9DC39A84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65</TotalTime>
  <Pages>6</Pages>
  <Words>1778</Words>
  <Characters>10492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10</cp:revision>
  <cp:lastPrinted>2017-11-28T17:18:00Z</cp:lastPrinted>
  <dcterms:created xsi:type="dcterms:W3CDTF">2020-06-02T10:25:00Z</dcterms:created>
  <dcterms:modified xsi:type="dcterms:W3CDTF">2020-07-27T11:16:00Z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