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6402CED8" wp14:editId="5AC61919">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3E6B9A" w:rsidRDefault="00F862D6" w:rsidP="0077673A">
            <w:r w:rsidRPr="003E6B9A">
              <w:t>Naše zn.</w:t>
            </w:r>
          </w:p>
        </w:tc>
        <w:tc>
          <w:tcPr>
            <w:tcW w:w="2552" w:type="dxa"/>
          </w:tcPr>
          <w:p w:rsidR="00F862D6" w:rsidRPr="003E6B9A" w:rsidRDefault="002953B4" w:rsidP="0037111D">
            <w:r w:rsidRPr="002953B4">
              <w:rPr>
                <w:rFonts w:ascii="Helvetica" w:hAnsi="Helvetica"/>
              </w:rPr>
              <w:t>6482/2020-SŽ-SSV-Ú3</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Pr="0065236A" w:rsidRDefault="00F862D6" w:rsidP="0077673A">
            <w:r w:rsidRPr="0065236A">
              <w:t>Listů/příloh</w:t>
            </w:r>
          </w:p>
        </w:tc>
        <w:tc>
          <w:tcPr>
            <w:tcW w:w="2552" w:type="dxa"/>
          </w:tcPr>
          <w:p w:rsidR="00F862D6" w:rsidRPr="0065236A" w:rsidRDefault="0065236A" w:rsidP="00CC1E2B">
            <w:r w:rsidRPr="0065236A">
              <w:t>7</w:t>
            </w:r>
            <w:r w:rsidR="00617639" w:rsidRPr="0065236A">
              <w:t>/20</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Default="00F862D6" w:rsidP="0077673A"/>
        </w:tc>
        <w:tc>
          <w:tcPr>
            <w:tcW w:w="2552" w:type="dxa"/>
          </w:tcPr>
          <w:p w:rsidR="00F862D6" w:rsidRPr="003E6B9A"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Pr="003E6B9A" w:rsidRDefault="00D36EA8" w:rsidP="00FE3455">
            <w:r>
              <w:t>Renáta Majerová</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Pr="003E6B9A" w:rsidRDefault="00D36EA8" w:rsidP="009A7568">
            <w:r>
              <w:t>+420 724 932 325</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Pr="003E6B9A" w:rsidRDefault="00D36EA8" w:rsidP="006104F6">
            <w:r>
              <w:t>Majerova@spravazeleznic.cz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tc>
          <w:tcPr>
            <w:tcW w:w="2552" w:type="dxa"/>
          </w:tcPr>
          <w:p w:rsidR="009A7568" w:rsidRPr="003E6B9A" w:rsidRDefault="00871912" w:rsidP="00871912">
            <w:bookmarkStart w:id="0" w:name="Datum"/>
            <w:r>
              <w:t>24. července 2020</w:t>
            </w:r>
            <w:r w:rsidRPr="003E6B9A">
              <w:t xml:space="preserve"> </w:t>
            </w:r>
            <w:r w:rsidR="009A7568" w:rsidRPr="003E6B9A">
              <w:t xml:space="preserve"> </w:t>
            </w:r>
            <w:bookmarkEnd w:id="0"/>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D36EA8" w:rsidRPr="00D36EA8">
        <w:rPr>
          <w:rFonts w:eastAsia="Calibri" w:cs="Times New Roman"/>
          <w:b/>
          <w:lang w:eastAsia="cs-CZ"/>
        </w:rPr>
        <w:t>Ústí n. O. - Brandýs n. O. - původní stopa, BC</w:t>
      </w:r>
    </w:p>
    <w:p w:rsidR="00CB7B5A" w:rsidRPr="00BD5319" w:rsidRDefault="00CB7B5A" w:rsidP="00CB7B5A">
      <w:pPr>
        <w:spacing w:after="0" w:line="240" w:lineRule="auto"/>
        <w:rPr>
          <w:rFonts w:eastAsia="Calibri" w:cs="Times New Roman"/>
          <w:b/>
          <w:bCs/>
          <w:lang w:eastAsia="cs-CZ"/>
        </w:rPr>
      </w:pPr>
      <w:r w:rsidRPr="00D36EA8">
        <w:rPr>
          <w:rFonts w:eastAsia="Calibri" w:cs="Times New Roman"/>
          <w:lang w:eastAsia="cs-CZ"/>
        </w:rPr>
        <w:t xml:space="preserve">Vysvětlení/ změna/ doplnění zadávací </w:t>
      </w:r>
      <w:r w:rsidRPr="00CB7B5A">
        <w:rPr>
          <w:rFonts w:eastAsia="Calibri" w:cs="Times New Roman"/>
          <w:lang w:eastAsia="cs-CZ"/>
        </w:rPr>
        <w:t xml:space="preserve">dokumentace č. </w:t>
      </w:r>
      <w:r w:rsidR="002953B4">
        <w:rPr>
          <w:rFonts w:eastAsia="Calibri" w:cs="Times New Roman"/>
          <w:lang w:eastAsia="cs-CZ"/>
        </w:rPr>
        <w:t>2</w:t>
      </w:r>
      <w:r w:rsidRPr="00CB7B5A">
        <w:rPr>
          <w:rFonts w:eastAsia="Times New Roman" w:cs="Times New Roman"/>
          <w:lang w:eastAsia="cs-CZ"/>
        </w:rPr>
        <w:fldChar w:fldCharType="begin">
          <w:ffData>
            <w:name w:val="Text1"/>
            <w:enabled/>
            <w:calcOnExit w:val="0"/>
            <w:textInput>
              <w:type w:val="date"/>
              <w:format w:val="d.M.yyyy"/>
            </w:textInput>
          </w:ffData>
        </w:fldChar>
      </w:r>
      <w:r w:rsidRPr="00CB7B5A">
        <w:rPr>
          <w:rFonts w:eastAsia="Times New Roman" w:cs="Times New Roman"/>
          <w:lang w:eastAsia="cs-CZ"/>
        </w:rPr>
        <w:instrText xml:space="preserve"> FORMTEXT </w:instrText>
      </w:r>
      <w:r w:rsidRPr="00CB7B5A">
        <w:rPr>
          <w:rFonts w:eastAsia="Times New Roman" w:cs="Times New Roman"/>
          <w:lang w:eastAsia="cs-CZ"/>
        </w:rPr>
      </w:r>
      <w:r w:rsidRPr="00CB7B5A">
        <w:rPr>
          <w:rFonts w:eastAsia="Times New Roman" w:cs="Times New Roman"/>
          <w:lang w:eastAsia="cs-CZ"/>
        </w:rPr>
        <w:fldChar w:fldCharType="separate"/>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fldChar w:fldCharType="end"/>
      </w:r>
      <w:r w:rsidRPr="00CB7B5A">
        <w:rPr>
          <w:rFonts w:eastAsia="Calibri" w:cs="Times New Roman"/>
          <w:lang w:eastAsia="cs-CZ"/>
        </w:rPr>
        <w:t xml:space="preserve"> </w:t>
      </w:r>
    </w:p>
    <w:p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rsidR="00BD5319" w:rsidRPr="00BD5319" w:rsidRDefault="00BD5319" w:rsidP="00BD5319">
      <w:pPr>
        <w:spacing w:after="0" w:line="240" w:lineRule="auto"/>
        <w:ind w:left="709"/>
        <w:rPr>
          <w:rFonts w:eastAsia="Calibri" w:cs="Times New Roman"/>
          <w:color w:val="FF0000"/>
          <w:lang w:eastAsia="cs-CZ"/>
        </w:rPr>
      </w:pPr>
    </w:p>
    <w:p w:rsidR="00BD5319" w:rsidRPr="00BD5319" w:rsidRDefault="00BD5319" w:rsidP="00BD5319">
      <w:pPr>
        <w:spacing w:after="0" w:line="240" w:lineRule="auto"/>
        <w:rPr>
          <w:rFonts w:eastAsia="Calibri" w:cs="Times New Roman"/>
          <w:b/>
          <w:lang w:eastAsia="cs-CZ"/>
        </w:rPr>
      </w:pPr>
    </w:p>
    <w:p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871912">
        <w:rPr>
          <w:rFonts w:eastAsia="Calibri" w:cs="Times New Roman"/>
          <w:b/>
          <w:lang w:eastAsia="cs-CZ"/>
        </w:rPr>
        <w:t>8</w:t>
      </w:r>
      <w:r w:rsidRPr="00BD5319">
        <w:rPr>
          <w:rFonts w:eastAsia="Calibri" w:cs="Times New Roman"/>
          <w:b/>
          <w:lang w:eastAsia="cs-CZ"/>
        </w:rPr>
        <w:t>:</w:t>
      </w:r>
    </w:p>
    <w:p w:rsidR="00BD5319" w:rsidRPr="00871912" w:rsidRDefault="00871912" w:rsidP="00BD5319">
      <w:pPr>
        <w:spacing w:after="0" w:line="240" w:lineRule="auto"/>
        <w:rPr>
          <w:rFonts w:cs="Arial"/>
        </w:rPr>
      </w:pPr>
      <w:r w:rsidRPr="00871912">
        <w:rPr>
          <w:rFonts w:cs="Arial"/>
        </w:rPr>
        <w:t>Dle podkladů by ve stavebním postupu 3/3a měla mimo jiné proběhnout sanace svršku a spodku včetně mostních objektů klasickým způsobem mezi dříve vloženými výh.</w:t>
      </w:r>
      <w:proofErr w:type="gramStart"/>
      <w:r w:rsidRPr="00871912">
        <w:rPr>
          <w:rFonts w:cs="Arial"/>
        </w:rPr>
        <w:t>č.2 a 3 ve</w:t>
      </w:r>
      <w:proofErr w:type="gramEnd"/>
      <w:r w:rsidRPr="00871912">
        <w:rPr>
          <w:rFonts w:cs="Arial"/>
        </w:rPr>
        <w:t xml:space="preserve"> výhybně Bezpráví (SO03-10-01) a to v termínu 25.05.-07.08.2022 (75 dní). Výluka TK1 je popsána pouze jako Ústí – Bezpráví + TK1 v Bezpráví. Při vyloučení TK1 mezi výh.</w:t>
      </w:r>
      <w:proofErr w:type="gramStart"/>
      <w:r w:rsidRPr="00871912">
        <w:rPr>
          <w:rFonts w:cs="Arial"/>
        </w:rPr>
        <w:t>č.2 a 3 bude</w:t>
      </w:r>
      <w:proofErr w:type="gramEnd"/>
      <w:r w:rsidRPr="00871912">
        <w:rPr>
          <w:rFonts w:cs="Arial"/>
        </w:rPr>
        <w:t xml:space="preserve"> vzhledem k orientaci výhybek nesjízdná TK1 v úseku Ústí – Brandýs. Prosíme o vysvětlení, případně o změnu popisu výluky.</w:t>
      </w:r>
    </w:p>
    <w:p w:rsidR="00871912" w:rsidRPr="00BD5319" w:rsidRDefault="00871912" w:rsidP="00BD5319">
      <w:pPr>
        <w:spacing w:after="0" w:line="240" w:lineRule="auto"/>
        <w:rPr>
          <w:rFonts w:eastAsia="Calibri" w:cs="Times New Roman"/>
          <w:b/>
          <w:lang w:eastAsia="cs-CZ"/>
        </w:rPr>
      </w:pPr>
    </w:p>
    <w:p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Odpověď: </w:t>
      </w:r>
    </w:p>
    <w:p w:rsidR="00617639" w:rsidRPr="00617639" w:rsidRDefault="00617639" w:rsidP="00617639">
      <w:pPr>
        <w:spacing w:after="0" w:line="240" w:lineRule="auto"/>
        <w:rPr>
          <w:rFonts w:eastAsia="Calibri" w:cs="Times New Roman"/>
          <w:i/>
          <w:lang w:eastAsia="cs-CZ"/>
        </w:rPr>
      </w:pPr>
      <w:r w:rsidRPr="00617639">
        <w:rPr>
          <w:rFonts w:eastAsia="Calibri" w:cs="Times New Roman"/>
          <w:i/>
          <w:lang w:eastAsia="cs-CZ"/>
        </w:rPr>
        <w:t>TK 1 Bezpráví – Brandýs bude v etapě 3a (prvních 75 dnů) sjízdná, byť reálně využitelná jen pro stavební dopravu. Pro změnu popisu výluky nevidíme důvod, do popisu železničního provozu byla vložena příslušná zmínka (viz B_08_01_upr01.pdf).</w:t>
      </w:r>
    </w:p>
    <w:p w:rsidR="00617639" w:rsidRPr="00617639" w:rsidRDefault="00617639" w:rsidP="00617639">
      <w:pPr>
        <w:spacing w:after="0" w:line="240" w:lineRule="auto"/>
        <w:rPr>
          <w:rFonts w:eastAsia="Times New Roman" w:cs="Times New Roman"/>
          <w:bCs/>
          <w:i/>
          <w:iCs/>
          <w:lang w:eastAsia="cs-CZ"/>
        </w:rPr>
      </w:pPr>
      <w:r w:rsidRPr="00617639">
        <w:rPr>
          <w:rFonts w:eastAsia="Times New Roman" w:cs="Times New Roman"/>
          <w:bCs/>
          <w:i/>
          <w:iCs/>
          <w:lang w:eastAsia="cs-CZ"/>
        </w:rPr>
        <w:t>Upraven dokument B_08_01_upr01.pdf.</w:t>
      </w:r>
    </w:p>
    <w:p w:rsidR="005A3176" w:rsidRDefault="005A3176" w:rsidP="00BD5319">
      <w:pPr>
        <w:spacing w:after="0" w:line="240" w:lineRule="auto"/>
        <w:rPr>
          <w:rFonts w:eastAsia="Calibri" w:cs="Times New Roman"/>
          <w:b/>
          <w:lang w:eastAsia="cs-CZ"/>
        </w:rPr>
      </w:pPr>
    </w:p>
    <w:p w:rsidR="00871912" w:rsidRPr="00BD5319" w:rsidRDefault="00871912" w:rsidP="00BD5319">
      <w:pPr>
        <w:spacing w:after="0" w:line="240" w:lineRule="auto"/>
        <w:rPr>
          <w:rFonts w:eastAsia="Calibri" w:cs="Times New Roman"/>
          <w:b/>
          <w:lang w:eastAsia="cs-CZ"/>
        </w:rPr>
      </w:pPr>
    </w:p>
    <w:p w:rsidR="00BD5319" w:rsidRPr="00617639" w:rsidRDefault="00BD5319" w:rsidP="00BD5319">
      <w:pPr>
        <w:spacing w:after="0" w:line="240" w:lineRule="auto"/>
        <w:rPr>
          <w:rFonts w:eastAsia="Calibri" w:cs="Times New Roman"/>
          <w:b/>
          <w:lang w:eastAsia="cs-CZ"/>
        </w:rPr>
      </w:pPr>
      <w:r w:rsidRPr="00617639">
        <w:rPr>
          <w:rFonts w:eastAsia="Calibri" w:cs="Times New Roman"/>
          <w:b/>
          <w:lang w:eastAsia="cs-CZ"/>
        </w:rPr>
        <w:t>Dotaz č.</w:t>
      </w:r>
      <w:r w:rsidR="00871912" w:rsidRPr="00617639">
        <w:rPr>
          <w:rFonts w:eastAsia="Calibri" w:cs="Times New Roman"/>
          <w:b/>
          <w:lang w:eastAsia="cs-CZ"/>
        </w:rPr>
        <w:t xml:space="preserve"> 9</w:t>
      </w:r>
      <w:r w:rsidRPr="00617639">
        <w:rPr>
          <w:rFonts w:eastAsia="Calibri" w:cs="Times New Roman"/>
          <w:b/>
          <w:lang w:eastAsia="cs-CZ"/>
        </w:rPr>
        <w:t>:</w:t>
      </w:r>
      <w:r w:rsidR="00411C93" w:rsidRPr="00617639">
        <w:rPr>
          <w:rFonts w:eastAsia="Calibri" w:cs="Times New Roman"/>
          <w:b/>
          <w:lang w:eastAsia="cs-CZ"/>
        </w:rPr>
        <w:t xml:space="preserve"> </w:t>
      </w:r>
    </w:p>
    <w:p w:rsidR="00BD5319" w:rsidRPr="00871912" w:rsidRDefault="00871912" w:rsidP="00BD5319">
      <w:pPr>
        <w:spacing w:after="0" w:line="240" w:lineRule="auto"/>
        <w:rPr>
          <w:rFonts w:eastAsia="Calibri" w:cs="Times New Roman"/>
          <w:lang w:eastAsia="cs-CZ"/>
        </w:rPr>
      </w:pPr>
      <w:r w:rsidRPr="00617639">
        <w:rPr>
          <w:rFonts w:eastAsia="Calibri" w:cs="Times New Roman"/>
          <w:lang w:eastAsia="cs-CZ"/>
        </w:rPr>
        <w:t>Při rekonstrukci železničního svršku bude vyzískán dále použitelný materiál (kolejnice a pražce), který má zhotovitel předat investorovi. Prosíme o přesné určení místa předání. A dále: jaká může být minimální délka předávaných vyzískaných kolejnic?</w:t>
      </w:r>
    </w:p>
    <w:p w:rsidR="00871912" w:rsidRPr="00871912" w:rsidRDefault="00871912" w:rsidP="00BD5319">
      <w:pPr>
        <w:spacing w:after="0" w:line="240" w:lineRule="auto"/>
        <w:rPr>
          <w:rFonts w:eastAsia="Calibri" w:cs="Times New Roman"/>
          <w:b/>
          <w:lang w:eastAsia="cs-CZ"/>
        </w:rPr>
      </w:pPr>
    </w:p>
    <w:p w:rsidR="00BD5319" w:rsidRPr="00871912" w:rsidRDefault="00BD5319" w:rsidP="00BD5319">
      <w:pPr>
        <w:spacing w:after="0" w:line="240" w:lineRule="auto"/>
        <w:rPr>
          <w:rFonts w:eastAsia="Calibri" w:cs="Times New Roman"/>
          <w:b/>
          <w:color w:val="FF0000"/>
          <w:lang w:eastAsia="cs-CZ"/>
        </w:rPr>
      </w:pPr>
      <w:r w:rsidRPr="00871912">
        <w:rPr>
          <w:rFonts w:eastAsia="Calibri" w:cs="Times New Roman"/>
          <w:b/>
          <w:lang w:eastAsia="cs-CZ"/>
        </w:rPr>
        <w:t xml:space="preserve">Odpověď: </w:t>
      </w:r>
    </w:p>
    <w:p w:rsidR="00617639" w:rsidRPr="00617639" w:rsidRDefault="00617639" w:rsidP="00617639">
      <w:pPr>
        <w:spacing w:after="0"/>
        <w:rPr>
          <w:i/>
          <w:szCs w:val="20"/>
        </w:rPr>
      </w:pPr>
      <w:r w:rsidRPr="00617639">
        <w:rPr>
          <w:i/>
          <w:szCs w:val="20"/>
        </w:rPr>
        <w:t>Demontované kolejové rošty budou předány na základně „Pionýr“ v obvodu ŽST Česká Třebová.</w:t>
      </w:r>
    </w:p>
    <w:p w:rsidR="00617639" w:rsidRPr="00617639" w:rsidRDefault="00617639" w:rsidP="00617639">
      <w:pPr>
        <w:spacing w:after="0"/>
        <w:rPr>
          <w:i/>
          <w:szCs w:val="20"/>
        </w:rPr>
      </w:pPr>
      <w:r w:rsidRPr="00617639">
        <w:rPr>
          <w:i/>
          <w:szCs w:val="20"/>
        </w:rPr>
        <w:t xml:space="preserve">Pro minimální délku snesených kolejnic určených k dalšímu použití platí předpis SŽDC S3 díl IV, článek </w:t>
      </w:r>
      <w:proofErr w:type="gramStart"/>
      <w:r w:rsidRPr="00617639">
        <w:rPr>
          <w:i/>
          <w:szCs w:val="20"/>
        </w:rPr>
        <w:t>18 , 3 odstavec</w:t>
      </w:r>
      <w:proofErr w:type="gramEnd"/>
      <w:r w:rsidRPr="00617639">
        <w:rPr>
          <w:i/>
          <w:szCs w:val="20"/>
        </w:rPr>
        <w:t>: „Při vyjímání kolejnic určených k regeneraci nebo k přímému použití z bezstykové koleje musí být kolejnicové pásy děleny jen v okolí původních svarů ve vzdálenosti do 100 mm od svarů. Mezilehlé řezy mezi původními svary může výjimečně povolit objednatel prací (SS nebo ST) při odsouhlasení technologického postupu.</w:t>
      </w:r>
    </w:p>
    <w:p w:rsidR="00617639" w:rsidRPr="00617639" w:rsidRDefault="00617639" w:rsidP="00617639">
      <w:pPr>
        <w:spacing w:after="0"/>
        <w:rPr>
          <w:rFonts w:ascii="Verdana" w:hAnsi="Verdana"/>
          <w:i/>
          <w:szCs w:val="20"/>
        </w:rPr>
      </w:pPr>
      <w:r w:rsidRPr="00617639">
        <w:rPr>
          <w:i/>
          <w:szCs w:val="20"/>
        </w:rPr>
        <w:t xml:space="preserve">V místech, kde je projektovou dokumentací navržena souvislá výměna kolejnic se předpokládá délka vyzískaných kolejnic k dalšímu použití cca 75 m. </w:t>
      </w:r>
    </w:p>
    <w:p w:rsidR="00BD5319" w:rsidRPr="00871912" w:rsidRDefault="00BD5319" w:rsidP="00BD5319">
      <w:pPr>
        <w:spacing w:after="0" w:line="240" w:lineRule="auto"/>
        <w:rPr>
          <w:rFonts w:eastAsia="Times New Roman" w:cs="Times New Roman"/>
          <w:color w:val="FF0000"/>
          <w:lang w:eastAsia="cs-CZ"/>
        </w:rPr>
      </w:pPr>
    </w:p>
    <w:p w:rsidR="00871912" w:rsidRDefault="00871912" w:rsidP="00BD5319">
      <w:pPr>
        <w:spacing w:after="0" w:line="240" w:lineRule="auto"/>
        <w:rPr>
          <w:rFonts w:eastAsia="Times New Roman" w:cs="Times New Roman"/>
          <w:b/>
          <w:color w:val="FF0000"/>
          <w:lang w:eastAsia="cs-CZ"/>
        </w:rPr>
      </w:pPr>
    </w:p>
    <w:p w:rsidR="00871912" w:rsidRPr="00871912" w:rsidRDefault="00871912" w:rsidP="00BD5319">
      <w:pPr>
        <w:spacing w:after="0" w:line="240" w:lineRule="auto"/>
        <w:rPr>
          <w:rFonts w:eastAsia="Times New Roman" w:cs="Times New Roman"/>
          <w:b/>
          <w:color w:val="FF0000"/>
          <w:lang w:eastAsia="cs-CZ"/>
        </w:rPr>
      </w:pPr>
    </w:p>
    <w:p w:rsidR="00871912" w:rsidRPr="00BD5319" w:rsidRDefault="00871912" w:rsidP="00871912">
      <w:pPr>
        <w:spacing w:after="0" w:line="240" w:lineRule="auto"/>
        <w:rPr>
          <w:rFonts w:eastAsia="Calibri" w:cs="Times New Roman"/>
          <w:b/>
          <w:lang w:eastAsia="cs-CZ"/>
        </w:rPr>
      </w:pPr>
      <w:r w:rsidRPr="00871912">
        <w:rPr>
          <w:rFonts w:eastAsia="Calibri" w:cs="Times New Roman"/>
          <w:b/>
          <w:lang w:eastAsia="cs-CZ"/>
        </w:rPr>
        <w:t>Dotaz č. 10:</w:t>
      </w:r>
    </w:p>
    <w:p w:rsidR="00871912" w:rsidRPr="00871912" w:rsidRDefault="00871912" w:rsidP="00871912">
      <w:pPr>
        <w:spacing w:after="0" w:line="240" w:lineRule="auto"/>
        <w:rPr>
          <w:rFonts w:eastAsia="Calibri" w:cs="Times New Roman"/>
          <w:lang w:eastAsia="cs-CZ"/>
        </w:rPr>
      </w:pPr>
      <w:r w:rsidRPr="00871912">
        <w:rPr>
          <w:rFonts w:eastAsia="Calibri" w:cs="Times New Roman"/>
          <w:lang w:eastAsia="cs-CZ"/>
        </w:rPr>
        <w:t xml:space="preserve">SO03-10-01: V Technické zprávě je správně uvedeno, že výhybky budou opatřeny 2ks žlabových pražců ve výměnové části a 1ks v srdcovce. Žlabový pražec v srdcovce je součástí základní ceny výhybky s PHS. Za zvláštní vybavení se považují jen 2ks žlabových pražců ve výměnové části. Prosíme proto opravit název </w:t>
      </w:r>
      <w:proofErr w:type="gramStart"/>
      <w:r w:rsidRPr="00871912">
        <w:rPr>
          <w:rFonts w:eastAsia="Calibri" w:cs="Times New Roman"/>
          <w:lang w:eastAsia="cs-CZ"/>
        </w:rPr>
        <w:t>pol.č.</w:t>
      </w:r>
      <w:proofErr w:type="gramEnd"/>
      <w:r w:rsidRPr="00871912">
        <w:rPr>
          <w:rFonts w:eastAsia="Calibri" w:cs="Times New Roman"/>
          <w:lang w:eastAsia="cs-CZ"/>
        </w:rPr>
        <w:t>17 soupisu prací na „...SESTAVA 2KS…“</w:t>
      </w:r>
    </w:p>
    <w:p w:rsidR="00871912" w:rsidRPr="00BD5319" w:rsidRDefault="00871912" w:rsidP="00871912">
      <w:pPr>
        <w:spacing w:after="0" w:line="240" w:lineRule="auto"/>
        <w:rPr>
          <w:rFonts w:eastAsia="Calibri" w:cs="Times New Roman"/>
          <w:b/>
          <w:lang w:eastAsia="cs-CZ"/>
        </w:rPr>
      </w:pPr>
    </w:p>
    <w:p w:rsidR="00871912" w:rsidRPr="00BD5319" w:rsidRDefault="00871912" w:rsidP="00871912">
      <w:pPr>
        <w:spacing w:after="0" w:line="240" w:lineRule="auto"/>
        <w:rPr>
          <w:rFonts w:eastAsia="Calibri" w:cs="Times New Roman"/>
          <w:b/>
          <w:color w:val="FF0000"/>
          <w:lang w:eastAsia="cs-CZ"/>
        </w:rPr>
      </w:pPr>
      <w:r w:rsidRPr="00BD5319">
        <w:rPr>
          <w:rFonts w:eastAsia="Calibri" w:cs="Times New Roman"/>
          <w:b/>
          <w:lang w:eastAsia="cs-CZ"/>
        </w:rPr>
        <w:lastRenderedPageBreak/>
        <w:t xml:space="preserve">Odpověď: </w:t>
      </w:r>
    </w:p>
    <w:p w:rsidR="00617639" w:rsidRPr="00617639" w:rsidRDefault="00617639" w:rsidP="00617639">
      <w:pPr>
        <w:spacing w:after="0" w:line="240" w:lineRule="auto"/>
        <w:jc w:val="both"/>
        <w:rPr>
          <w:rFonts w:eastAsia="Times New Roman" w:cs="Times New Roman"/>
          <w:i/>
          <w:lang w:eastAsia="cs-CZ"/>
        </w:rPr>
      </w:pPr>
      <w:r w:rsidRPr="00617639">
        <w:rPr>
          <w:rFonts w:eastAsia="Times New Roman" w:cs="Times New Roman"/>
          <w:i/>
          <w:lang w:eastAsia="cs-CZ"/>
        </w:rPr>
        <w:t xml:space="preserve">V technické specifikaci položek č. 15 a 16 (zřízení výhybek) není nikde výslovně uvedeno, že by žlabový pražec v srdcovce byl součástí základní ceny výhybky s PHS, naopak se uvádí, že položka neobsahuje žlabové pražce. </w:t>
      </w:r>
    </w:p>
    <w:p w:rsidR="00871912" w:rsidRDefault="00871912" w:rsidP="00BD5319">
      <w:pPr>
        <w:spacing w:after="0" w:line="240" w:lineRule="auto"/>
        <w:rPr>
          <w:rFonts w:eastAsia="Times New Roman" w:cs="Times New Roman"/>
          <w:b/>
          <w:color w:val="FF0000"/>
          <w:lang w:eastAsia="cs-CZ"/>
        </w:rPr>
      </w:pPr>
    </w:p>
    <w:p w:rsidR="00871912" w:rsidRDefault="00871912" w:rsidP="00BD5319">
      <w:pPr>
        <w:spacing w:after="0" w:line="240" w:lineRule="auto"/>
        <w:rPr>
          <w:rFonts w:eastAsia="Times New Roman" w:cs="Times New Roman"/>
          <w:b/>
          <w:color w:val="FF0000"/>
          <w:lang w:eastAsia="cs-CZ"/>
        </w:rPr>
      </w:pPr>
    </w:p>
    <w:p w:rsidR="00871912" w:rsidRPr="00871912" w:rsidRDefault="00871912" w:rsidP="00871912">
      <w:pPr>
        <w:spacing w:after="0" w:line="240" w:lineRule="auto"/>
        <w:rPr>
          <w:rFonts w:eastAsia="Calibri" w:cs="Times New Roman"/>
          <w:b/>
          <w:lang w:eastAsia="cs-CZ"/>
        </w:rPr>
      </w:pPr>
      <w:r w:rsidRPr="00871912">
        <w:rPr>
          <w:rFonts w:eastAsia="Calibri" w:cs="Times New Roman"/>
          <w:b/>
          <w:lang w:eastAsia="cs-CZ"/>
        </w:rPr>
        <w:t>Dotaz č. 11:</w:t>
      </w:r>
    </w:p>
    <w:p w:rsidR="00871912" w:rsidRPr="00871912" w:rsidRDefault="00871912" w:rsidP="00871912">
      <w:pPr>
        <w:spacing w:after="0" w:line="240" w:lineRule="auto"/>
        <w:rPr>
          <w:rFonts w:eastAsia="Calibri" w:cs="Times New Roman"/>
          <w:lang w:eastAsia="cs-CZ"/>
        </w:rPr>
      </w:pPr>
      <w:r w:rsidRPr="00871912">
        <w:rPr>
          <w:rFonts w:eastAsia="Calibri" w:cs="Times New Roman"/>
          <w:lang w:eastAsia="cs-CZ"/>
        </w:rPr>
        <w:t>SO03-10-01: výh.</w:t>
      </w:r>
      <w:proofErr w:type="gramStart"/>
      <w:r w:rsidRPr="00871912">
        <w:rPr>
          <w:rFonts w:eastAsia="Calibri" w:cs="Times New Roman"/>
          <w:lang w:eastAsia="cs-CZ"/>
        </w:rPr>
        <w:t>č.1,2,3,4</w:t>
      </w:r>
      <w:proofErr w:type="gramEnd"/>
      <w:r w:rsidRPr="00871912">
        <w:rPr>
          <w:rFonts w:eastAsia="Calibri" w:cs="Times New Roman"/>
          <w:lang w:eastAsia="cs-CZ"/>
        </w:rPr>
        <w:t xml:space="preserve"> mají být s PHS, tedy stavebně delší, než výhybky s klasickou srdcovkou. V Situaci a dalších výkresech jsou ovšem zakresleny a okótovány, jako by měly klasickou srdcovku. Prosíme o opravu.</w:t>
      </w:r>
    </w:p>
    <w:p w:rsidR="00871912" w:rsidRPr="00871912" w:rsidRDefault="00871912" w:rsidP="00871912">
      <w:pPr>
        <w:spacing w:after="0" w:line="240" w:lineRule="auto"/>
        <w:rPr>
          <w:rFonts w:eastAsia="Calibri" w:cs="Times New Roman"/>
          <w:b/>
          <w:lang w:eastAsia="cs-CZ"/>
        </w:rPr>
      </w:pPr>
    </w:p>
    <w:p w:rsidR="00871912" w:rsidRPr="00871912" w:rsidRDefault="00871912" w:rsidP="00871912">
      <w:pPr>
        <w:spacing w:after="0" w:line="240" w:lineRule="auto"/>
        <w:rPr>
          <w:rFonts w:eastAsia="Calibri" w:cs="Times New Roman"/>
          <w:b/>
          <w:color w:val="FF0000"/>
          <w:lang w:eastAsia="cs-CZ"/>
        </w:rPr>
      </w:pPr>
      <w:r w:rsidRPr="00871912">
        <w:rPr>
          <w:rFonts w:eastAsia="Calibri" w:cs="Times New Roman"/>
          <w:b/>
          <w:lang w:eastAsia="cs-CZ"/>
        </w:rPr>
        <w:t xml:space="preserve">Odpověď: </w:t>
      </w:r>
    </w:p>
    <w:p w:rsidR="00617639" w:rsidRPr="00617639" w:rsidRDefault="00617639" w:rsidP="00617639">
      <w:pPr>
        <w:spacing w:after="0" w:line="240" w:lineRule="auto"/>
        <w:jc w:val="both"/>
        <w:rPr>
          <w:rFonts w:eastAsia="Times New Roman" w:cs="Times New Roman"/>
          <w:i/>
          <w:lang w:eastAsia="cs-CZ"/>
        </w:rPr>
      </w:pPr>
      <w:r w:rsidRPr="00617639">
        <w:rPr>
          <w:rFonts w:eastAsia="Times New Roman" w:cs="Times New Roman"/>
          <w:i/>
          <w:lang w:eastAsia="cs-CZ"/>
        </w:rPr>
        <w:t xml:space="preserve">V dokumentaci jsou uvedeny výhybky J60 1:12-500-I s PHS a J60 1:11-300 s PHS, ze kterých následně pro geometrii výhybek dle předpisu SŽDC S3 díl IX tab. 4 vychází výhybka 1:12-500-PHSI a výhybka 1:11-300-PHS. Tyto výhybky mají, oproti výhybkám základním, pouze prodlouženou srdcovkovou část a pro geometrii výhybky se pouze posune bod KV. Výhybka 1:12-500-PHSI má KV v obou větvích posunutý o 2,997m a výhybka 1:11-300-PHS o 2,971m. Body ZV, BO a úhel odbočení je pro výhybky bez PHS a s PHS, které jsou projektované v dokumentaci, totožný. Bod KV se posouvá do prostoru dlouhých společných VPS pražců, které jsou u základní výhybky součástí „kalhot“. </w:t>
      </w:r>
    </w:p>
    <w:p w:rsidR="00617639" w:rsidRPr="00617639" w:rsidRDefault="00617639" w:rsidP="00617639">
      <w:pPr>
        <w:spacing w:after="0" w:line="240" w:lineRule="auto"/>
        <w:jc w:val="both"/>
        <w:rPr>
          <w:rFonts w:eastAsia="Times New Roman" w:cs="Times New Roman"/>
          <w:i/>
          <w:lang w:eastAsia="cs-CZ"/>
        </w:rPr>
      </w:pPr>
      <w:r w:rsidRPr="00617639">
        <w:rPr>
          <w:rFonts w:eastAsia="Times New Roman" w:cs="Times New Roman"/>
          <w:i/>
          <w:lang w:eastAsia="cs-CZ"/>
        </w:rPr>
        <w:t>Pro určení polohy kolejových spojek a osazení výhybek je z hlediska geometrie výhybek podstatný BO. Poloha KV výhybek 1:12-500-PHSI a 1:11-300-PHS v dokumentaci upravena. Upraven výkaz výměr pro SO03-10-01 z důvodu odlišných počtů VPS pražců za konci výhybek.</w:t>
      </w:r>
    </w:p>
    <w:p w:rsidR="00617639" w:rsidRPr="00617639" w:rsidRDefault="00617639" w:rsidP="00617639">
      <w:pPr>
        <w:spacing w:after="0" w:line="240" w:lineRule="auto"/>
        <w:rPr>
          <w:rFonts w:eastAsia="Times New Roman" w:cs="Times New Roman"/>
          <w:bCs/>
          <w:i/>
          <w:iCs/>
          <w:lang w:eastAsia="cs-CZ"/>
        </w:rPr>
      </w:pPr>
      <w:r w:rsidRPr="00617639">
        <w:rPr>
          <w:rFonts w:eastAsia="Times New Roman" w:cs="Times New Roman"/>
          <w:bCs/>
          <w:i/>
          <w:iCs/>
          <w:lang w:eastAsia="cs-CZ"/>
        </w:rPr>
        <w:t>Upraven dokument SO031001_upr01.xlsm.</w:t>
      </w:r>
    </w:p>
    <w:p w:rsidR="00871912" w:rsidRPr="00871912" w:rsidRDefault="00871912" w:rsidP="00BD5319">
      <w:pPr>
        <w:spacing w:after="0" w:line="240" w:lineRule="auto"/>
        <w:rPr>
          <w:rFonts w:eastAsia="Times New Roman" w:cs="Times New Roman"/>
          <w:b/>
          <w:color w:val="FF0000"/>
          <w:lang w:eastAsia="cs-CZ"/>
        </w:rPr>
      </w:pPr>
    </w:p>
    <w:p w:rsidR="00871912" w:rsidRPr="00871912" w:rsidRDefault="00871912" w:rsidP="00BD5319">
      <w:pPr>
        <w:spacing w:after="0" w:line="240" w:lineRule="auto"/>
        <w:rPr>
          <w:rFonts w:eastAsia="Times New Roman" w:cs="Times New Roman"/>
          <w:b/>
          <w:color w:val="FF0000"/>
          <w:lang w:eastAsia="cs-CZ"/>
        </w:rPr>
      </w:pPr>
    </w:p>
    <w:p w:rsidR="00871912" w:rsidRPr="00871912" w:rsidRDefault="00871912" w:rsidP="00871912">
      <w:pPr>
        <w:spacing w:after="0" w:line="240" w:lineRule="auto"/>
        <w:rPr>
          <w:rFonts w:eastAsia="Calibri" w:cs="Times New Roman"/>
          <w:b/>
          <w:lang w:eastAsia="cs-CZ"/>
        </w:rPr>
      </w:pPr>
      <w:r w:rsidRPr="00871912">
        <w:rPr>
          <w:rFonts w:eastAsia="Calibri" w:cs="Times New Roman"/>
          <w:b/>
          <w:lang w:eastAsia="cs-CZ"/>
        </w:rPr>
        <w:t>Dotaz č. 12:</w:t>
      </w:r>
    </w:p>
    <w:p w:rsidR="00871912" w:rsidRPr="00871912" w:rsidRDefault="00871912" w:rsidP="00871912">
      <w:pPr>
        <w:spacing w:after="0" w:line="240" w:lineRule="auto"/>
        <w:rPr>
          <w:rFonts w:eastAsia="Calibri" w:cs="Times New Roman"/>
          <w:lang w:eastAsia="cs-CZ"/>
        </w:rPr>
      </w:pPr>
      <w:r w:rsidRPr="00871912">
        <w:rPr>
          <w:rFonts w:eastAsia="Calibri" w:cs="Times New Roman"/>
          <w:lang w:eastAsia="cs-CZ"/>
        </w:rPr>
        <w:t xml:space="preserve">SO03-10-01: válečkové stoličky </w:t>
      </w:r>
      <w:proofErr w:type="spellStart"/>
      <w:r w:rsidRPr="00871912">
        <w:rPr>
          <w:rFonts w:eastAsia="Calibri" w:cs="Times New Roman"/>
          <w:lang w:eastAsia="cs-CZ"/>
        </w:rPr>
        <w:t>nadzvedávací</w:t>
      </w:r>
      <w:proofErr w:type="spellEnd"/>
      <w:r w:rsidRPr="00871912">
        <w:rPr>
          <w:rFonts w:eastAsia="Calibri" w:cs="Times New Roman"/>
          <w:lang w:eastAsia="cs-CZ"/>
        </w:rPr>
        <w:t xml:space="preserve"> a čelisťové závěry jsou obsaženy v základní ceně výhybek. </w:t>
      </w:r>
      <w:proofErr w:type="gramStart"/>
      <w:r w:rsidRPr="00871912">
        <w:rPr>
          <w:rFonts w:eastAsia="Calibri" w:cs="Times New Roman"/>
          <w:lang w:eastAsia="cs-CZ"/>
        </w:rPr>
        <w:t>Pol.č.</w:t>
      </w:r>
      <w:proofErr w:type="gramEnd"/>
      <w:r w:rsidRPr="00871912">
        <w:rPr>
          <w:rFonts w:eastAsia="Calibri" w:cs="Times New Roman"/>
          <w:lang w:eastAsia="cs-CZ"/>
        </w:rPr>
        <w:t>18,19,20 je tak možné ze soupisu prací odstranit.</w:t>
      </w:r>
    </w:p>
    <w:p w:rsidR="00871912" w:rsidRPr="00871912" w:rsidRDefault="00871912" w:rsidP="00871912">
      <w:pPr>
        <w:spacing w:after="0" w:line="240" w:lineRule="auto"/>
        <w:rPr>
          <w:rFonts w:eastAsia="Calibri" w:cs="Times New Roman"/>
          <w:b/>
          <w:lang w:eastAsia="cs-CZ"/>
        </w:rPr>
      </w:pPr>
    </w:p>
    <w:p w:rsidR="00871912" w:rsidRPr="00871912" w:rsidRDefault="00871912" w:rsidP="00871912">
      <w:pPr>
        <w:spacing w:after="0" w:line="240" w:lineRule="auto"/>
        <w:rPr>
          <w:rFonts w:eastAsia="Calibri" w:cs="Times New Roman"/>
          <w:b/>
          <w:color w:val="FF0000"/>
          <w:lang w:eastAsia="cs-CZ"/>
        </w:rPr>
      </w:pPr>
      <w:r w:rsidRPr="00871912">
        <w:rPr>
          <w:rFonts w:eastAsia="Calibri" w:cs="Times New Roman"/>
          <w:b/>
          <w:lang w:eastAsia="cs-CZ"/>
        </w:rPr>
        <w:t xml:space="preserve">Odpověď: </w:t>
      </w:r>
    </w:p>
    <w:p w:rsidR="00617639" w:rsidRPr="00617639" w:rsidRDefault="00617639" w:rsidP="00617639">
      <w:pPr>
        <w:spacing w:after="0" w:line="240" w:lineRule="auto"/>
        <w:jc w:val="both"/>
        <w:rPr>
          <w:rFonts w:eastAsia="Times New Roman" w:cs="Times New Roman"/>
          <w:i/>
          <w:lang w:eastAsia="cs-CZ"/>
        </w:rPr>
      </w:pPr>
      <w:r w:rsidRPr="00617639">
        <w:rPr>
          <w:rFonts w:eastAsia="Times New Roman" w:cs="Times New Roman"/>
          <w:i/>
          <w:lang w:eastAsia="cs-CZ"/>
        </w:rPr>
        <w:t xml:space="preserve">V technické specifikaci položek č. 15 a 16 (zřízení výhybek) není nikde výslovně uvedeno, že by </w:t>
      </w:r>
      <w:bookmarkStart w:id="1" w:name="_Hlk46306611"/>
      <w:r w:rsidRPr="00617639">
        <w:rPr>
          <w:rFonts w:eastAsia="Times New Roman" w:cs="Times New Roman"/>
          <w:i/>
          <w:lang w:eastAsia="cs-CZ"/>
        </w:rPr>
        <w:t xml:space="preserve">válečkové stoličky </w:t>
      </w:r>
      <w:proofErr w:type="spellStart"/>
      <w:r w:rsidRPr="00617639">
        <w:rPr>
          <w:rFonts w:eastAsia="Times New Roman" w:cs="Times New Roman"/>
          <w:i/>
          <w:lang w:eastAsia="cs-CZ"/>
        </w:rPr>
        <w:t>nadzvedávací</w:t>
      </w:r>
      <w:proofErr w:type="spellEnd"/>
      <w:r w:rsidRPr="00617639">
        <w:rPr>
          <w:rFonts w:eastAsia="Times New Roman" w:cs="Times New Roman"/>
          <w:i/>
          <w:lang w:eastAsia="cs-CZ"/>
        </w:rPr>
        <w:t xml:space="preserve"> a čelisťové závěry </w:t>
      </w:r>
      <w:bookmarkEnd w:id="1"/>
      <w:r w:rsidRPr="00617639">
        <w:rPr>
          <w:rFonts w:eastAsia="Times New Roman" w:cs="Times New Roman"/>
          <w:i/>
          <w:lang w:eastAsia="cs-CZ"/>
        </w:rPr>
        <w:t xml:space="preserve">byly součástí základní ceny výhybky s PHS, naopak se uvádí, že položka neobsahuje válečkové stoličky </w:t>
      </w:r>
      <w:proofErr w:type="spellStart"/>
      <w:r w:rsidRPr="00617639">
        <w:rPr>
          <w:rFonts w:eastAsia="Times New Roman" w:cs="Times New Roman"/>
          <w:i/>
          <w:lang w:eastAsia="cs-CZ"/>
        </w:rPr>
        <w:t>nadzvedávací</w:t>
      </w:r>
      <w:proofErr w:type="spellEnd"/>
      <w:r w:rsidRPr="00617639">
        <w:rPr>
          <w:rFonts w:eastAsia="Times New Roman" w:cs="Times New Roman"/>
          <w:i/>
          <w:lang w:eastAsia="cs-CZ"/>
        </w:rPr>
        <w:t xml:space="preserve"> a čelisťové závěry. </w:t>
      </w:r>
    </w:p>
    <w:p w:rsidR="00871912" w:rsidRPr="00871912" w:rsidRDefault="00871912" w:rsidP="00BD5319">
      <w:pPr>
        <w:spacing w:after="0" w:line="240" w:lineRule="auto"/>
        <w:rPr>
          <w:rFonts w:eastAsia="Times New Roman" w:cs="Times New Roman"/>
          <w:b/>
          <w:color w:val="FF0000"/>
          <w:lang w:eastAsia="cs-CZ"/>
        </w:rPr>
      </w:pPr>
    </w:p>
    <w:p w:rsidR="00871912" w:rsidRPr="00871912" w:rsidRDefault="00871912" w:rsidP="00BD5319">
      <w:pPr>
        <w:spacing w:after="0" w:line="240" w:lineRule="auto"/>
        <w:rPr>
          <w:rFonts w:eastAsia="Times New Roman" w:cs="Times New Roman"/>
          <w:b/>
          <w:color w:val="FF0000"/>
          <w:lang w:eastAsia="cs-CZ"/>
        </w:rPr>
      </w:pPr>
    </w:p>
    <w:p w:rsidR="00871912" w:rsidRPr="00871912" w:rsidRDefault="00871912" w:rsidP="00871912">
      <w:pPr>
        <w:spacing w:after="0" w:line="240" w:lineRule="auto"/>
        <w:rPr>
          <w:rFonts w:eastAsia="Calibri" w:cs="Times New Roman"/>
          <w:b/>
          <w:lang w:eastAsia="cs-CZ"/>
        </w:rPr>
      </w:pPr>
      <w:r w:rsidRPr="00871912">
        <w:rPr>
          <w:rFonts w:eastAsia="Calibri" w:cs="Times New Roman"/>
          <w:b/>
          <w:lang w:eastAsia="cs-CZ"/>
        </w:rPr>
        <w:t>Dotaz č. 13:</w:t>
      </w:r>
    </w:p>
    <w:p w:rsidR="00871912" w:rsidRPr="00871912" w:rsidRDefault="00871912" w:rsidP="00871912">
      <w:pPr>
        <w:spacing w:after="0" w:line="240" w:lineRule="auto"/>
        <w:rPr>
          <w:rFonts w:eastAsia="Calibri" w:cs="Times New Roman"/>
          <w:b/>
          <w:lang w:eastAsia="cs-CZ"/>
        </w:rPr>
      </w:pPr>
      <w:r w:rsidRPr="00871912">
        <w:rPr>
          <w:rFonts w:eastAsia="Calibri" w:cs="Times New Roman"/>
          <w:lang w:eastAsia="cs-CZ"/>
        </w:rPr>
        <w:t xml:space="preserve">SO03-10-01: výhybky tvaru J60-1:12-500 bývají vybaveny 1ks </w:t>
      </w:r>
      <w:proofErr w:type="spellStart"/>
      <w:r w:rsidRPr="00871912">
        <w:rPr>
          <w:rFonts w:eastAsia="Calibri" w:cs="Times New Roman"/>
          <w:lang w:eastAsia="cs-CZ"/>
        </w:rPr>
        <w:t>dotlačovací</w:t>
      </w:r>
      <w:proofErr w:type="spellEnd"/>
      <w:r w:rsidRPr="00871912">
        <w:rPr>
          <w:rFonts w:eastAsia="Calibri" w:cs="Times New Roman"/>
          <w:lang w:eastAsia="cs-CZ"/>
        </w:rPr>
        <w:t xml:space="preserve"> stoličky v hlavním dopravním směru. Pokud tuto úprava zadavatel požaduje u výh.</w:t>
      </w:r>
      <w:proofErr w:type="gramStart"/>
      <w:r w:rsidRPr="00871912">
        <w:rPr>
          <w:rFonts w:eastAsia="Calibri" w:cs="Times New Roman"/>
          <w:lang w:eastAsia="cs-CZ"/>
        </w:rPr>
        <w:t>č.1,2</w:t>
      </w:r>
      <w:proofErr w:type="gramEnd"/>
      <w:r w:rsidRPr="00871912">
        <w:rPr>
          <w:rFonts w:eastAsia="Calibri" w:cs="Times New Roman"/>
          <w:lang w:eastAsia="cs-CZ"/>
        </w:rPr>
        <w:t>, pak je potřeba do soupisu prací doplnit příslušnou položku s výměrou 2ks.</w:t>
      </w:r>
    </w:p>
    <w:p w:rsidR="00871912" w:rsidRPr="00871912" w:rsidRDefault="00871912" w:rsidP="00871912">
      <w:pPr>
        <w:spacing w:after="0" w:line="240" w:lineRule="auto"/>
        <w:rPr>
          <w:rFonts w:eastAsia="Calibri" w:cs="Times New Roman"/>
          <w:b/>
          <w:lang w:eastAsia="cs-CZ"/>
        </w:rPr>
      </w:pPr>
    </w:p>
    <w:p w:rsidR="00871912" w:rsidRPr="00871912" w:rsidRDefault="00871912" w:rsidP="00871912">
      <w:pPr>
        <w:spacing w:after="0" w:line="240" w:lineRule="auto"/>
        <w:rPr>
          <w:rFonts w:eastAsia="Calibri" w:cs="Times New Roman"/>
          <w:b/>
          <w:color w:val="FF0000"/>
          <w:lang w:eastAsia="cs-CZ"/>
        </w:rPr>
      </w:pPr>
      <w:r w:rsidRPr="00871912">
        <w:rPr>
          <w:rFonts w:eastAsia="Calibri" w:cs="Times New Roman"/>
          <w:b/>
          <w:lang w:eastAsia="cs-CZ"/>
        </w:rPr>
        <w:t xml:space="preserve">Odpověď: </w:t>
      </w:r>
    </w:p>
    <w:p w:rsidR="00617639" w:rsidRPr="00617639" w:rsidRDefault="00617639" w:rsidP="00617639">
      <w:pPr>
        <w:spacing w:after="0" w:line="240" w:lineRule="auto"/>
        <w:jc w:val="both"/>
        <w:rPr>
          <w:rFonts w:eastAsia="Times New Roman" w:cs="Times New Roman"/>
          <w:i/>
          <w:lang w:eastAsia="cs-CZ"/>
        </w:rPr>
      </w:pPr>
      <w:r w:rsidRPr="00617639">
        <w:rPr>
          <w:rFonts w:eastAsia="Times New Roman" w:cs="Times New Roman"/>
          <w:i/>
          <w:lang w:eastAsia="cs-CZ"/>
        </w:rPr>
        <w:t>Příslušná položka (č. 20) nově doplněna do upraveného soupisu prací.</w:t>
      </w:r>
    </w:p>
    <w:p w:rsidR="00617639" w:rsidRPr="00617639" w:rsidRDefault="00617639" w:rsidP="00617639">
      <w:pPr>
        <w:spacing w:after="0" w:line="240" w:lineRule="auto"/>
        <w:rPr>
          <w:rFonts w:eastAsia="Times New Roman" w:cs="Times New Roman"/>
          <w:bCs/>
          <w:i/>
          <w:iCs/>
          <w:lang w:eastAsia="cs-CZ"/>
        </w:rPr>
      </w:pPr>
      <w:r w:rsidRPr="00617639">
        <w:rPr>
          <w:rFonts w:eastAsia="Times New Roman" w:cs="Times New Roman"/>
          <w:bCs/>
          <w:i/>
          <w:iCs/>
          <w:lang w:eastAsia="cs-CZ"/>
        </w:rPr>
        <w:t>Upraven dokument SO031001_upr01.xlsm.</w:t>
      </w:r>
    </w:p>
    <w:p w:rsidR="00871912" w:rsidRPr="00871912" w:rsidRDefault="00871912" w:rsidP="00BD5319">
      <w:pPr>
        <w:spacing w:after="0" w:line="240" w:lineRule="auto"/>
        <w:rPr>
          <w:rFonts w:eastAsia="Times New Roman" w:cs="Times New Roman"/>
          <w:b/>
          <w:color w:val="FF0000"/>
          <w:lang w:eastAsia="cs-CZ"/>
        </w:rPr>
      </w:pPr>
    </w:p>
    <w:p w:rsidR="00871912" w:rsidRPr="00871912" w:rsidRDefault="00871912" w:rsidP="00BD5319">
      <w:pPr>
        <w:spacing w:after="0" w:line="240" w:lineRule="auto"/>
        <w:rPr>
          <w:rFonts w:eastAsia="Times New Roman" w:cs="Times New Roman"/>
          <w:b/>
          <w:color w:val="FF0000"/>
          <w:lang w:eastAsia="cs-CZ"/>
        </w:rPr>
      </w:pPr>
    </w:p>
    <w:p w:rsidR="00871912" w:rsidRPr="00871912" w:rsidRDefault="00871912" w:rsidP="00871912">
      <w:pPr>
        <w:spacing w:after="0" w:line="240" w:lineRule="auto"/>
        <w:rPr>
          <w:rFonts w:eastAsia="Calibri" w:cs="Times New Roman"/>
          <w:b/>
          <w:lang w:eastAsia="cs-CZ"/>
        </w:rPr>
      </w:pPr>
      <w:r w:rsidRPr="00871912">
        <w:rPr>
          <w:rFonts w:eastAsia="Calibri" w:cs="Times New Roman"/>
          <w:b/>
          <w:lang w:eastAsia="cs-CZ"/>
        </w:rPr>
        <w:t>Dotaz č. 14:</w:t>
      </w:r>
    </w:p>
    <w:p w:rsidR="00871912" w:rsidRPr="00871912" w:rsidRDefault="00871912" w:rsidP="00871912">
      <w:pPr>
        <w:spacing w:after="0" w:line="240" w:lineRule="auto"/>
        <w:rPr>
          <w:rFonts w:eastAsia="Calibri" w:cs="Times New Roman"/>
          <w:lang w:eastAsia="cs-CZ"/>
        </w:rPr>
      </w:pPr>
      <w:r w:rsidRPr="00871912">
        <w:rPr>
          <w:rFonts w:eastAsia="Calibri" w:cs="Times New Roman"/>
          <w:lang w:eastAsia="cs-CZ"/>
        </w:rPr>
        <w:t>SO05-10-01: výhybky tvaru J60-1:9-300 jsou vybaveny 2ks žlabových pražců (týká se výh.</w:t>
      </w:r>
      <w:proofErr w:type="gramStart"/>
      <w:r w:rsidRPr="00871912">
        <w:rPr>
          <w:rFonts w:eastAsia="Calibri" w:cs="Times New Roman"/>
          <w:lang w:eastAsia="cs-CZ"/>
        </w:rPr>
        <w:t>č.7).</w:t>
      </w:r>
      <w:proofErr w:type="gramEnd"/>
      <w:r w:rsidRPr="00871912">
        <w:rPr>
          <w:rFonts w:eastAsia="Calibri" w:cs="Times New Roman"/>
          <w:lang w:eastAsia="cs-CZ"/>
        </w:rPr>
        <w:t xml:space="preserve"> Proto prosíme zvýšit výměru </w:t>
      </w:r>
      <w:proofErr w:type="gramStart"/>
      <w:r w:rsidRPr="00871912">
        <w:rPr>
          <w:rFonts w:eastAsia="Calibri" w:cs="Times New Roman"/>
          <w:lang w:eastAsia="cs-CZ"/>
        </w:rPr>
        <w:t>pol.č.</w:t>
      </w:r>
      <w:proofErr w:type="gramEnd"/>
      <w:r w:rsidRPr="00871912">
        <w:rPr>
          <w:rFonts w:eastAsia="Calibri" w:cs="Times New Roman"/>
          <w:lang w:eastAsia="cs-CZ"/>
        </w:rPr>
        <w:t>31 soupisu prací na 7kpl a pol.č.30 zrušit.</w:t>
      </w:r>
    </w:p>
    <w:p w:rsidR="00871912" w:rsidRPr="00871912" w:rsidRDefault="00871912" w:rsidP="00871912">
      <w:pPr>
        <w:spacing w:after="0" w:line="240" w:lineRule="auto"/>
        <w:rPr>
          <w:rFonts w:eastAsia="Calibri" w:cs="Times New Roman"/>
          <w:b/>
          <w:lang w:eastAsia="cs-CZ"/>
        </w:rPr>
      </w:pPr>
    </w:p>
    <w:p w:rsidR="00871912" w:rsidRPr="00871912" w:rsidRDefault="00871912" w:rsidP="00871912">
      <w:pPr>
        <w:spacing w:after="0" w:line="240" w:lineRule="auto"/>
        <w:rPr>
          <w:rFonts w:eastAsia="Calibri" w:cs="Times New Roman"/>
          <w:b/>
          <w:color w:val="FF0000"/>
          <w:lang w:eastAsia="cs-CZ"/>
        </w:rPr>
      </w:pPr>
      <w:r w:rsidRPr="00871912">
        <w:rPr>
          <w:rFonts w:eastAsia="Calibri" w:cs="Times New Roman"/>
          <w:b/>
          <w:lang w:eastAsia="cs-CZ"/>
        </w:rPr>
        <w:t xml:space="preserve">Odpověď: </w:t>
      </w:r>
    </w:p>
    <w:p w:rsidR="00617639" w:rsidRPr="00617639" w:rsidRDefault="00617639" w:rsidP="00617639">
      <w:pPr>
        <w:spacing w:after="0" w:line="240" w:lineRule="auto"/>
        <w:rPr>
          <w:rFonts w:eastAsia="Times New Roman" w:cs="Times New Roman"/>
          <w:i/>
          <w:lang w:eastAsia="cs-CZ"/>
        </w:rPr>
      </w:pPr>
      <w:r w:rsidRPr="00617639">
        <w:rPr>
          <w:rFonts w:eastAsia="Times New Roman" w:cs="Times New Roman"/>
          <w:i/>
          <w:lang w:eastAsia="cs-CZ"/>
        </w:rPr>
        <w:t>Ano, výhybka J60-1:9-300 je vybavena 2 ks žlabových pražců. Položka č. 30 byla zrušena. Položka č. 31 (dle původního číslování) byla zvýšena. Zároveň byla opravena příloha č. 1.7 ve výkazu výměr a příslušný soupis prací. Zároveň byla zvýšena položka č. 40 (dle aktualizovaného číslování) – jeden čelisťový závěr pro výhybku č. 7.</w:t>
      </w:r>
    </w:p>
    <w:p w:rsidR="00617639" w:rsidRPr="00617639" w:rsidRDefault="00617639" w:rsidP="00617639">
      <w:pPr>
        <w:spacing w:after="0" w:line="240" w:lineRule="auto"/>
        <w:rPr>
          <w:rFonts w:eastAsia="Times New Roman" w:cs="Times New Roman"/>
          <w:bCs/>
          <w:i/>
          <w:iCs/>
          <w:lang w:eastAsia="cs-CZ"/>
        </w:rPr>
      </w:pPr>
      <w:r w:rsidRPr="00617639">
        <w:rPr>
          <w:rFonts w:eastAsia="Times New Roman" w:cs="Times New Roman"/>
          <w:bCs/>
          <w:i/>
          <w:iCs/>
          <w:lang w:eastAsia="cs-CZ"/>
        </w:rPr>
        <w:t>Upraven dokument SO051001_upr01.xlsm.</w:t>
      </w:r>
    </w:p>
    <w:p w:rsidR="00617639" w:rsidRPr="00617639" w:rsidRDefault="00617639" w:rsidP="00617639">
      <w:pPr>
        <w:spacing w:after="0" w:line="240" w:lineRule="auto"/>
        <w:rPr>
          <w:rFonts w:eastAsia="Times New Roman" w:cs="Times New Roman"/>
          <w:bCs/>
          <w:i/>
          <w:iCs/>
          <w:lang w:eastAsia="cs-CZ"/>
        </w:rPr>
      </w:pPr>
      <w:r w:rsidRPr="00617639">
        <w:rPr>
          <w:rFonts w:eastAsia="Times New Roman" w:cs="Times New Roman"/>
          <w:bCs/>
          <w:i/>
          <w:iCs/>
          <w:lang w:eastAsia="cs-CZ"/>
        </w:rPr>
        <w:t>Upraven dokument D_02_01_01_051001_11_VV_upr01.pdf</w:t>
      </w:r>
    </w:p>
    <w:p w:rsidR="00871912" w:rsidRPr="00871912" w:rsidRDefault="00871912" w:rsidP="00BD5319">
      <w:pPr>
        <w:spacing w:after="0" w:line="240" w:lineRule="auto"/>
        <w:rPr>
          <w:rFonts w:eastAsia="Times New Roman" w:cs="Times New Roman"/>
          <w:b/>
          <w:color w:val="FF0000"/>
          <w:lang w:eastAsia="cs-CZ"/>
        </w:rPr>
      </w:pPr>
    </w:p>
    <w:p w:rsidR="00871912" w:rsidRPr="00871912" w:rsidRDefault="00871912" w:rsidP="00BD5319">
      <w:pPr>
        <w:spacing w:after="0" w:line="240" w:lineRule="auto"/>
        <w:rPr>
          <w:rFonts w:eastAsia="Times New Roman" w:cs="Times New Roman"/>
          <w:b/>
          <w:color w:val="FF0000"/>
          <w:lang w:eastAsia="cs-CZ"/>
        </w:rPr>
      </w:pPr>
    </w:p>
    <w:p w:rsidR="00871912" w:rsidRPr="00871912" w:rsidRDefault="00871912" w:rsidP="00871912">
      <w:pPr>
        <w:spacing w:after="0" w:line="240" w:lineRule="auto"/>
        <w:rPr>
          <w:rFonts w:eastAsia="Calibri" w:cs="Times New Roman"/>
          <w:b/>
          <w:lang w:eastAsia="cs-CZ"/>
        </w:rPr>
      </w:pPr>
      <w:r w:rsidRPr="00871912">
        <w:rPr>
          <w:rFonts w:eastAsia="Calibri" w:cs="Times New Roman"/>
          <w:b/>
          <w:lang w:eastAsia="cs-CZ"/>
        </w:rPr>
        <w:t>Dotaz č. 15:</w:t>
      </w:r>
    </w:p>
    <w:p w:rsidR="00871912" w:rsidRPr="00871912" w:rsidRDefault="00871912" w:rsidP="00871912">
      <w:pPr>
        <w:spacing w:after="0" w:line="240" w:lineRule="auto"/>
        <w:rPr>
          <w:rFonts w:eastAsia="Calibri" w:cs="Times New Roman"/>
          <w:b/>
          <w:lang w:eastAsia="cs-CZ"/>
        </w:rPr>
      </w:pPr>
      <w:r w:rsidRPr="00871912">
        <w:rPr>
          <w:rFonts w:eastAsia="Calibri" w:cs="Times New Roman"/>
          <w:lang w:eastAsia="cs-CZ"/>
        </w:rPr>
        <w:t xml:space="preserve">SO05-10-01: výhybky tvaru J60-1:12-500 bývají vybaveny 1ks </w:t>
      </w:r>
      <w:proofErr w:type="spellStart"/>
      <w:r w:rsidRPr="00871912">
        <w:rPr>
          <w:rFonts w:eastAsia="Calibri" w:cs="Times New Roman"/>
          <w:lang w:eastAsia="cs-CZ"/>
        </w:rPr>
        <w:t>dotlačovací</w:t>
      </w:r>
      <w:proofErr w:type="spellEnd"/>
      <w:r w:rsidRPr="00871912">
        <w:rPr>
          <w:rFonts w:eastAsia="Calibri" w:cs="Times New Roman"/>
          <w:lang w:eastAsia="cs-CZ"/>
        </w:rPr>
        <w:t xml:space="preserve"> stoličky v hlavním dopravním směru a výhybky tvaru J60-1:14-760 bývají vybaveny 2ks </w:t>
      </w:r>
      <w:proofErr w:type="spellStart"/>
      <w:r w:rsidRPr="00871912">
        <w:rPr>
          <w:rFonts w:eastAsia="Calibri" w:cs="Times New Roman"/>
          <w:lang w:eastAsia="cs-CZ"/>
        </w:rPr>
        <w:t>dotlačovacích</w:t>
      </w:r>
      <w:proofErr w:type="spellEnd"/>
      <w:r w:rsidRPr="00871912">
        <w:rPr>
          <w:rFonts w:eastAsia="Calibri" w:cs="Times New Roman"/>
          <w:lang w:eastAsia="cs-CZ"/>
        </w:rPr>
        <w:t xml:space="preserve"> stoliček v hlavním dopravním směru. Pokud tuto úprava zadavatel požaduje u </w:t>
      </w:r>
      <w:r w:rsidRPr="00871912">
        <w:rPr>
          <w:rFonts w:eastAsia="Calibri" w:cs="Times New Roman"/>
          <w:lang w:eastAsia="cs-CZ"/>
        </w:rPr>
        <w:lastRenderedPageBreak/>
        <w:t>výh.</w:t>
      </w:r>
      <w:proofErr w:type="gramStart"/>
      <w:r w:rsidRPr="00871912">
        <w:rPr>
          <w:rFonts w:eastAsia="Calibri" w:cs="Times New Roman"/>
          <w:lang w:eastAsia="cs-CZ"/>
        </w:rPr>
        <w:t>č.1,2,3,4,5,6,8,9,10,11,12,13</w:t>
      </w:r>
      <w:proofErr w:type="gramEnd"/>
      <w:r w:rsidRPr="00871912">
        <w:rPr>
          <w:rFonts w:eastAsia="Calibri" w:cs="Times New Roman"/>
          <w:lang w:eastAsia="cs-CZ"/>
        </w:rPr>
        <w:t>, pak je potřeba do soupisu prací doplnit příslušnou položku s výměrou 18ks.</w:t>
      </w:r>
    </w:p>
    <w:p w:rsidR="00871912" w:rsidRPr="00871912" w:rsidRDefault="00871912" w:rsidP="00871912">
      <w:pPr>
        <w:spacing w:after="0" w:line="240" w:lineRule="auto"/>
        <w:rPr>
          <w:rFonts w:eastAsia="Calibri" w:cs="Times New Roman"/>
          <w:b/>
          <w:lang w:eastAsia="cs-CZ"/>
        </w:rPr>
      </w:pPr>
    </w:p>
    <w:p w:rsidR="00871912" w:rsidRPr="00871912" w:rsidRDefault="00871912" w:rsidP="00871912">
      <w:pPr>
        <w:spacing w:after="0" w:line="240" w:lineRule="auto"/>
        <w:rPr>
          <w:rFonts w:eastAsia="Calibri" w:cs="Times New Roman"/>
          <w:b/>
          <w:color w:val="FF0000"/>
          <w:lang w:eastAsia="cs-CZ"/>
        </w:rPr>
      </w:pPr>
      <w:r w:rsidRPr="00871912">
        <w:rPr>
          <w:rFonts w:eastAsia="Calibri" w:cs="Times New Roman"/>
          <w:b/>
          <w:lang w:eastAsia="cs-CZ"/>
        </w:rPr>
        <w:t xml:space="preserve">Odpověď: </w:t>
      </w:r>
    </w:p>
    <w:p w:rsidR="00617639" w:rsidRPr="00617639" w:rsidRDefault="00617639" w:rsidP="00617639">
      <w:pPr>
        <w:spacing w:after="0" w:line="240" w:lineRule="auto"/>
        <w:rPr>
          <w:rFonts w:eastAsia="Times New Roman" w:cs="Times New Roman"/>
          <w:i/>
          <w:lang w:eastAsia="cs-CZ"/>
        </w:rPr>
      </w:pPr>
      <w:r w:rsidRPr="00617639">
        <w:rPr>
          <w:rFonts w:eastAsia="Times New Roman" w:cs="Times New Roman"/>
          <w:i/>
          <w:lang w:eastAsia="cs-CZ"/>
        </w:rPr>
        <w:t>Soupis prací tuto položku obsahuje – je to položka č. 54 (dle aktualizovaného číslování v návaznosti na dotaz č. 14 položka č. 53). Ve výkazu je tato položka uvedena v příloze č. 1.7. Položka chyběla pouze v rekapitulaci – zde byla doplněna (řádek č. 60).</w:t>
      </w:r>
    </w:p>
    <w:p w:rsidR="00617639" w:rsidRPr="00617639" w:rsidRDefault="00617639" w:rsidP="00617639">
      <w:pPr>
        <w:spacing w:after="0" w:line="240" w:lineRule="auto"/>
        <w:rPr>
          <w:rFonts w:eastAsia="Times New Roman" w:cs="Times New Roman"/>
          <w:bCs/>
          <w:i/>
          <w:iCs/>
          <w:lang w:eastAsia="cs-CZ"/>
        </w:rPr>
      </w:pPr>
      <w:r w:rsidRPr="00617639">
        <w:rPr>
          <w:rFonts w:eastAsia="Times New Roman" w:cs="Times New Roman"/>
          <w:bCs/>
          <w:i/>
          <w:iCs/>
          <w:lang w:eastAsia="cs-CZ"/>
        </w:rPr>
        <w:t>Upraven dokument SO051001_upr01.xlsm.</w:t>
      </w:r>
    </w:p>
    <w:p w:rsidR="00871912" w:rsidRDefault="00871912" w:rsidP="00BD5319">
      <w:pPr>
        <w:spacing w:after="0" w:line="240" w:lineRule="auto"/>
        <w:rPr>
          <w:rFonts w:eastAsia="Times New Roman" w:cs="Times New Roman"/>
          <w:b/>
          <w:color w:val="FF0000"/>
          <w:lang w:eastAsia="cs-CZ"/>
        </w:rPr>
      </w:pPr>
    </w:p>
    <w:p w:rsidR="00871912" w:rsidRPr="00871912" w:rsidRDefault="00871912" w:rsidP="00BD5319">
      <w:pPr>
        <w:spacing w:after="0" w:line="240" w:lineRule="auto"/>
        <w:rPr>
          <w:rFonts w:eastAsia="Times New Roman" w:cs="Times New Roman"/>
          <w:b/>
          <w:color w:val="FF0000"/>
          <w:lang w:eastAsia="cs-CZ"/>
        </w:rPr>
      </w:pPr>
    </w:p>
    <w:p w:rsidR="00871912" w:rsidRPr="00871912" w:rsidRDefault="00871912" w:rsidP="00871912">
      <w:pPr>
        <w:spacing w:after="0" w:line="240" w:lineRule="auto"/>
        <w:rPr>
          <w:rFonts w:eastAsia="Calibri" w:cs="Times New Roman"/>
          <w:b/>
          <w:lang w:eastAsia="cs-CZ"/>
        </w:rPr>
      </w:pPr>
      <w:r w:rsidRPr="00871912">
        <w:rPr>
          <w:rFonts w:eastAsia="Calibri" w:cs="Times New Roman"/>
          <w:b/>
          <w:lang w:eastAsia="cs-CZ"/>
        </w:rPr>
        <w:t>Dotaz č. 16:</w:t>
      </w:r>
    </w:p>
    <w:p w:rsidR="00871912" w:rsidRPr="00871912" w:rsidRDefault="00871912" w:rsidP="00871912">
      <w:pPr>
        <w:spacing w:after="0" w:line="240" w:lineRule="auto"/>
        <w:rPr>
          <w:rFonts w:eastAsia="Calibri" w:cs="Times New Roman"/>
          <w:lang w:eastAsia="cs-CZ"/>
        </w:rPr>
      </w:pPr>
      <w:r w:rsidRPr="00871912">
        <w:rPr>
          <w:rFonts w:eastAsia="Calibri" w:cs="Times New Roman"/>
          <w:lang w:eastAsia="cs-CZ"/>
        </w:rPr>
        <w:t xml:space="preserve">V zadávací dokumentaci jsme nenašli výkresy, ze kterých by vyplývaly polohy LIS (zejména ve stanicích – plán izolace) a umístění snímačů poloh jazyků. Tyto výkresy bývají součástí dokumentace provozních souborů staničních </w:t>
      </w:r>
      <w:proofErr w:type="spellStart"/>
      <w:proofErr w:type="gramStart"/>
      <w:r w:rsidRPr="00871912">
        <w:rPr>
          <w:rFonts w:eastAsia="Calibri" w:cs="Times New Roman"/>
          <w:lang w:eastAsia="cs-CZ"/>
        </w:rPr>
        <w:t>zab</w:t>
      </w:r>
      <w:proofErr w:type="gramEnd"/>
      <w:r w:rsidRPr="00871912">
        <w:rPr>
          <w:rFonts w:eastAsia="Calibri" w:cs="Times New Roman"/>
          <w:lang w:eastAsia="cs-CZ"/>
        </w:rPr>
        <w:t>.</w:t>
      </w:r>
      <w:proofErr w:type="gramStart"/>
      <w:r w:rsidRPr="00871912">
        <w:rPr>
          <w:rFonts w:eastAsia="Calibri" w:cs="Times New Roman"/>
          <w:lang w:eastAsia="cs-CZ"/>
        </w:rPr>
        <w:t>zař</w:t>
      </w:r>
      <w:proofErr w:type="spellEnd"/>
      <w:proofErr w:type="gramEnd"/>
      <w:r w:rsidRPr="00871912">
        <w:rPr>
          <w:rFonts w:eastAsia="Calibri" w:cs="Times New Roman"/>
          <w:lang w:eastAsia="cs-CZ"/>
        </w:rPr>
        <w:t>. Prosíme o doplnění.</w:t>
      </w:r>
    </w:p>
    <w:p w:rsidR="00871912" w:rsidRPr="00BD5319" w:rsidRDefault="00871912" w:rsidP="00871912">
      <w:pPr>
        <w:spacing w:after="0" w:line="240" w:lineRule="auto"/>
        <w:rPr>
          <w:rFonts w:eastAsia="Calibri" w:cs="Times New Roman"/>
          <w:b/>
          <w:lang w:eastAsia="cs-CZ"/>
        </w:rPr>
      </w:pPr>
    </w:p>
    <w:p w:rsidR="00871912" w:rsidRPr="00BD5319" w:rsidRDefault="00871912" w:rsidP="00871912">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rsidR="00617639" w:rsidRPr="00617639" w:rsidRDefault="00617639" w:rsidP="00617639">
      <w:pPr>
        <w:spacing w:after="0" w:line="240" w:lineRule="auto"/>
        <w:rPr>
          <w:rFonts w:eastAsia="Times New Roman" w:cs="Times New Roman"/>
          <w:i/>
          <w:lang w:eastAsia="cs-CZ"/>
        </w:rPr>
      </w:pPr>
      <w:r w:rsidRPr="00617639">
        <w:rPr>
          <w:rFonts w:eastAsia="Times New Roman" w:cs="Times New Roman"/>
          <w:i/>
          <w:lang w:eastAsia="cs-CZ"/>
        </w:rPr>
        <w:t xml:space="preserve">Plány izolace jsou součástí dokumentace technologické </w:t>
      </w:r>
      <w:proofErr w:type="gramStart"/>
      <w:r w:rsidRPr="00617639">
        <w:rPr>
          <w:rFonts w:eastAsia="Times New Roman" w:cs="Times New Roman"/>
          <w:i/>
          <w:lang w:eastAsia="cs-CZ"/>
        </w:rPr>
        <w:t>části D.1.1</w:t>
      </w:r>
      <w:proofErr w:type="gramEnd"/>
      <w:r w:rsidRPr="00617639">
        <w:rPr>
          <w:rFonts w:eastAsia="Times New Roman" w:cs="Times New Roman"/>
          <w:i/>
          <w:lang w:eastAsia="cs-CZ"/>
        </w:rPr>
        <w:t xml:space="preserve"> (výkresy 0420-0460 v části „A“, 0441 a 0451 v části „B“). Jejich polohy, případně umístění snímačů jazyků jsou uvedeny v polohopisných výkresech 0101 – 0113. Přesné umístění snímačů polohy v </w:t>
      </w:r>
      <w:proofErr w:type="spellStart"/>
      <w:r w:rsidRPr="00617639">
        <w:rPr>
          <w:rFonts w:eastAsia="Times New Roman" w:cs="Times New Roman"/>
          <w:i/>
          <w:lang w:eastAsia="cs-CZ"/>
        </w:rPr>
        <w:t>mezipražcových</w:t>
      </w:r>
      <w:proofErr w:type="spellEnd"/>
      <w:r w:rsidRPr="00617639">
        <w:rPr>
          <w:rFonts w:eastAsia="Times New Roman" w:cs="Times New Roman"/>
          <w:i/>
          <w:lang w:eastAsia="cs-CZ"/>
        </w:rPr>
        <w:t xml:space="preserve"> polích je uvedeno např. v katalogu aplikací výrobků výhybkového programu konkrétního dodavatele zabezpečovacího zařízení.</w:t>
      </w:r>
    </w:p>
    <w:p w:rsidR="00871912" w:rsidRDefault="00871912" w:rsidP="00BD5319">
      <w:pPr>
        <w:spacing w:after="0" w:line="240" w:lineRule="auto"/>
        <w:rPr>
          <w:rFonts w:eastAsia="Times New Roman" w:cs="Times New Roman"/>
          <w:b/>
          <w:color w:val="FF0000"/>
          <w:lang w:eastAsia="cs-CZ"/>
        </w:rPr>
      </w:pPr>
    </w:p>
    <w:p w:rsidR="00871912" w:rsidRDefault="00871912" w:rsidP="00BD5319">
      <w:pPr>
        <w:spacing w:after="0" w:line="240" w:lineRule="auto"/>
        <w:rPr>
          <w:rFonts w:eastAsia="Times New Roman" w:cs="Times New Roman"/>
          <w:b/>
          <w:color w:val="FF0000"/>
          <w:lang w:eastAsia="cs-CZ"/>
        </w:rPr>
      </w:pPr>
    </w:p>
    <w:p w:rsidR="002953B4" w:rsidRPr="00871912" w:rsidRDefault="002953B4" w:rsidP="002953B4">
      <w:pPr>
        <w:spacing w:after="0" w:line="240" w:lineRule="auto"/>
        <w:rPr>
          <w:rFonts w:eastAsia="Calibri" w:cs="Times New Roman"/>
          <w:b/>
          <w:lang w:eastAsia="cs-CZ"/>
        </w:rPr>
      </w:pPr>
      <w:r w:rsidRPr="00871912">
        <w:rPr>
          <w:rFonts w:eastAsia="Calibri" w:cs="Times New Roman"/>
          <w:b/>
          <w:lang w:eastAsia="cs-CZ"/>
        </w:rPr>
        <w:t>Dotaz č. 1</w:t>
      </w:r>
      <w:r>
        <w:rPr>
          <w:rFonts w:eastAsia="Calibri" w:cs="Times New Roman"/>
          <w:b/>
          <w:lang w:eastAsia="cs-CZ"/>
        </w:rPr>
        <w:t>7</w:t>
      </w:r>
      <w:r w:rsidRPr="00871912">
        <w:rPr>
          <w:rFonts w:eastAsia="Calibri" w:cs="Times New Roman"/>
          <w:b/>
          <w:lang w:eastAsia="cs-CZ"/>
        </w:rPr>
        <w:t>:</w:t>
      </w:r>
    </w:p>
    <w:p w:rsidR="002953B4" w:rsidRDefault="002953B4" w:rsidP="002953B4">
      <w:pPr>
        <w:pStyle w:val="Odstavecseseznamem"/>
        <w:spacing w:after="200" w:line="276" w:lineRule="auto"/>
        <w:ind w:left="0"/>
      </w:pPr>
      <w:r>
        <w:t>PS 03-01-11. Ve výkazu výměr se vyskytují položky č. 100 a 101:</w:t>
      </w:r>
    </w:p>
    <w:tbl>
      <w:tblPr>
        <w:tblW w:w="8505" w:type="dxa"/>
        <w:tblInd w:w="70" w:type="dxa"/>
        <w:tblCellMar>
          <w:left w:w="70" w:type="dxa"/>
          <w:right w:w="70" w:type="dxa"/>
        </w:tblCellMar>
        <w:tblLook w:val="04A0" w:firstRow="1" w:lastRow="0" w:firstColumn="1" w:lastColumn="0" w:noHBand="0" w:noVBand="1"/>
      </w:tblPr>
      <w:tblGrid>
        <w:gridCol w:w="567"/>
        <w:gridCol w:w="993"/>
        <w:gridCol w:w="5103"/>
        <w:gridCol w:w="992"/>
        <w:gridCol w:w="850"/>
      </w:tblGrid>
      <w:tr w:rsidR="002953B4" w:rsidTr="002953B4">
        <w:trPr>
          <w:trHeight w:val="315"/>
        </w:trPr>
        <w:tc>
          <w:tcPr>
            <w:tcW w:w="567" w:type="dxa"/>
            <w:tcBorders>
              <w:top w:val="single" w:sz="8" w:space="0" w:color="auto"/>
              <w:left w:val="single" w:sz="12" w:space="0" w:color="auto"/>
              <w:bottom w:val="single" w:sz="8" w:space="0" w:color="auto"/>
              <w:right w:val="single" w:sz="4" w:space="0" w:color="auto"/>
            </w:tcBorders>
            <w:shd w:val="clear" w:color="auto" w:fill="FFFFFF"/>
            <w:noWrap/>
            <w:vAlign w:val="center"/>
            <w:hideMark/>
          </w:tcPr>
          <w:p w:rsidR="002953B4" w:rsidRDefault="002953B4">
            <w:pPr>
              <w:spacing w:after="0" w:line="240"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100</w:t>
            </w:r>
          </w:p>
        </w:tc>
        <w:tc>
          <w:tcPr>
            <w:tcW w:w="993" w:type="dxa"/>
            <w:tcBorders>
              <w:top w:val="single" w:sz="8" w:space="0" w:color="auto"/>
              <w:left w:val="nil"/>
              <w:bottom w:val="single" w:sz="8" w:space="0" w:color="auto"/>
              <w:right w:val="single" w:sz="4" w:space="0" w:color="auto"/>
            </w:tcBorders>
            <w:noWrap/>
            <w:vAlign w:val="center"/>
            <w:hideMark/>
          </w:tcPr>
          <w:p w:rsidR="002953B4" w:rsidRDefault="002953B4">
            <w:pPr>
              <w:spacing w:after="0" w:line="240" w:lineRule="auto"/>
              <w:ind w:left="-261" w:right="-70" w:hanging="142"/>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R4-položka</w:t>
            </w:r>
          </w:p>
        </w:tc>
        <w:tc>
          <w:tcPr>
            <w:tcW w:w="5103" w:type="dxa"/>
            <w:tcBorders>
              <w:top w:val="single" w:sz="8" w:space="0" w:color="auto"/>
              <w:left w:val="nil"/>
              <w:bottom w:val="single" w:sz="8" w:space="0" w:color="auto"/>
              <w:right w:val="single" w:sz="4" w:space="0" w:color="auto"/>
            </w:tcBorders>
            <w:vAlign w:val="center"/>
            <w:hideMark/>
          </w:tcPr>
          <w:p w:rsidR="002953B4" w:rsidRDefault="002953B4">
            <w:pPr>
              <w:spacing w:after="0" w:line="240" w:lineRule="auto"/>
              <w:ind w:hanging="70"/>
              <w:rPr>
                <w:rFonts w:ascii="Arial" w:eastAsia="Times New Roman" w:hAnsi="Arial" w:cs="Arial"/>
                <w:sz w:val="16"/>
                <w:szCs w:val="16"/>
                <w:lang w:eastAsia="cs-CZ"/>
              </w:rPr>
            </w:pPr>
            <w:r>
              <w:rPr>
                <w:rFonts w:ascii="Arial" w:eastAsia="Times New Roman" w:hAnsi="Arial" w:cs="Arial"/>
                <w:sz w:val="16"/>
                <w:szCs w:val="16"/>
                <w:lang w:eastAsia="cs-CZ"/>
              </w:rPr>
              <w:t xml:space="preserve">PROTIPOŽÁRNÍ UCPÁVKY </w:t>
            </w:r>
          </w:p>
        </w:tc>
        <w:tc>
          <w:tcPr>
            <w:tcW w:w="992" w:type="dxa"/>
            <w:tcBorders>
              <w:top w:val="single" w:sz="8" w:space="0" w:color="auto"/>
              <w:left w:val="nil"/>
              <w:bottom w:val="single" w:sz="8" w:space="0" w:color="auto"/>
              <w:right w:val="single" w:sz="4" w:space="0" w:color="auto"/>
            </w:tcBorders>
            <w:noWrap/>
            <w:vAlign w:val="center"/>
            <w:hideMark/>
          </w:tcPr>
          <w:p w:rsidR="002953B4" w:rsidRDefault="002953B4">
            <w:pPr>
              <w:spacing w:after="0" w:line="240"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SOUB</w:t>
            </w:r>
          </w:p>
        </w:tc>
        <w:tc>
          <w:tcPr>
            <w:tcW w:w="850" w:type="dxa"/>
            <w:tcBorders>
              <w:top w:val="single" w:sz="8" w:space="0" w:color="auto"/>
              <w:left w:val="nil"/>
              <w:bottom w:val="single" w:sz="8" w:space="0" w:color="auto"/>
              <w:right w:val="single" w:sz="4" w:space="0" w:color="auto"/>
            </w:tcBorders>
            <w:noWrap/>
            <w:vAlign w:val="center"/>
            <w:hideMark/>
          </w:tcPr>
          <w:p w:rsidR="002953B4" w:rsidRDefault="002953B4">
            <w:pPr>
              <w:spacing w:after="0" w:line="240"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1,000</w:t>
            </w:r>
          </w:p>
        </w:tc>
      </w:tr>
      <w:tr w:rsidR="002953B4" w:rsidTr="002953B4">
        <w:trPr>
          <w:trHeight w:val="300"/>
        </w:trPr>
        <w:tc>
          <w:tcPr>
            <w:tcW w:w="567" w:type="dxa"/>
            <w:tcBorders>
              <w:top w:val="nil"/>
              <w:left w:val="single" w:sz="12" w:space="0" w:color="auto"/>
              <w:bottom w:val="nil"/>
              <w:right w:val="nil"/>
            </w:tcBorders>
            <w:noWrap/>
            <w:vAlign w:val="center"/>
            <w:hideMark/>
          </w:tcPr>
          <w:p w:rsidR="002953B4" w:rsidRDefault="002953B4">
            <w:pPr>
              <w:spacing w:after="0" w:line="240" w:lineRule="auto"/>
              <w:ind w:hanging="284"/>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c>
          <w:tcPr>
            <w:tcW w:w="993" w:type="dxa"/>
            <w:noWrap/>
            <w:vAlign w:val="center"/>
            <w:hideMark/>
          </w:tcPr>
          <w:p w:rsidR="002953B4" w:rsidRDefault="002953B4">
            <w:pPr>
              <w:spacing w:after="0" w:line="276" w:lineRule="auto"/>
              <w:rPr>
                <w:sz w:val="22"/>
                <w:szCs w:val="22"/>
              </w:rPr>
            </w:pPr>
          </w:p>
        </w:tc>
        <w:tc>
          <w:tcPr>
            <w:tcW w:w="5103" w:type="dxa"/>
            <w:tcBorders>
              <w:top w:val="nil"/>
              <w:left w:val="single" w:sz="4" w:space="0" w:color="auto"/>
              <w:bottom w:val="single" w:sz="4" w:space="0" w:color="auto"/>
              <w:right w:val="single" w:sz="4" w:space="0" w:color="auto"/>
            </w:tcBorders>
            <w:vAlign w:val="center"/>
            <w:hideMark/>
          </w:tcPr>
          <w:p w:rsidR="002953B4" w:rsidRDefault="002953B4">
            <w:pPr>
              <w:spacing w:after="0" w:line="240" w:lineRule="auto"/>
              <w:ind w:hanging="70"/>
              <w:rPr>
                <w:rFonts w:ascii="Arial" w:eastAsia="Times New Roman" w:hAnsi="Arial" w:cs="Arial"/>
                <w:sz w:val="16"/>
                <w:szCs w:val="16"/>
                <w:lang w:eastAsia="cs-CZ"/>
              </w:rPr>
            </w:pPr>
            <w:r>
              <w:rPr>
                <w:rFonts w:ascii="Arial" w:eastAsia="Times New Roman" w:hAnsi="Arial" w:cs="Arial"/>
                <w:sz w:val="16"/>
                <w:szCs w:val="16"/>
                <w:lang w:eastAsia="cs-CZ"/>
              </w:rPr>
              <w:t> </w:t>
            </w:r>
          </w:p>
        </w:tc>
        <w:tc>
          <w:tcPr>
            <w:tcW w:w="992" w:type="dxa"/>
            <w:noWrap/>
            <w:vAlign w:val="center"/>
            <w:hideMark/>
          </w:tcPr>
          <w:p w:rsidR="002953B4" w:rsidRDefault="002953B4">
            <w:pPr>
              <w:spacing w:after="0" w:line="276" w:lineRule="auto"/>
              <w:rPr>
                <w:sz w:val="22"/>
                <w:szCs w:val="22"/>
              </w:rPr>
            </w:pPr>
          </w:p>
        </w:tc>
        <w:tc>
          <w:tcPr>
            <w:tcW w:w="850" w:type="dxa"/>
            <w:noWrap/>
            <w:vAlign w:val="center"/>
            <w:hideMark/>
          </w:tcPr>
          <w:p w:rsidR="002953B4" w:rsidRDefault="002953B4">
            <w:pPr>
              <w:spacing w:after="0" w:line="276" w:lineRule="auto"/>
              <w:rPr>
                <w:sz w:val="22"/>
                <w:szCs w:val="22"/>
              </w:rPr>
            </w:pPr>
          </w:p>
        </w:tc>
      </w:tr>
      <w:tr w:rsidR="002953B4" w:rsidTr="002953B4">
        <w:trPr>
          <w:trHeight w:val="300"/>
        </w:trPr>
        <w:tc>
          <w:tcPr>
            <w:tcW w:w="567" w:type="dxa"/>
            <w:tcBorders>
              <w:top w:val="nil"/>
              <w:left w:val="single" w:sz="12" w:space="0" w:color="auto"/>
              <w:bottom w:val="nil"/>
              <w:right w:val="nil"/>
            </w:tcBorders>
            <w:noWrap/>
            <w:vAlign w:val="center"/>
            <w:hideMark/>
          </w:tcPr>
          <w:p w:rsidR="002953B4" w:rsidRDefault="002953B4">
            <w:pPr>
              <w:spacing w:after="0" w:line="240" w:lineRule="auto"/>
              <w:ind w:hanging="284"/>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c>
          <w:tcPr>
            <w:tcW w:w="993" w:type="dxa"/>
            <w:noWrap/>
            <w:vAlign w:val="center"/>
            <w:hideMark/>
          </w:tcPr>
          <w:p w:rsidR="002953B4" w:rsidRDefault="002953B4">
            <w:pPr>
              <w:spacing w:after="0" w:line="276" w:lineRule="auto"/>
              <w:rPr>
                <w:sz w:val="22"/>
                <w:szCs w:val="22"/>
              </w:rPr>
            </w:pPr>
          </w:p>
        </w:tc>
        <w:tc>
          <w:tcPr>
            <w:tcW w:w="5103" w:type="dxa"/>
            <w:tcBorders>
              <w:top w:val="nil"/>
              <w:left w:val="single" w:sz="4" w:space="0" w:color="auto"/>
              <w:bottom w:val="single" w:sz="4" w:space="0" w:color="auto"/>
              <w:right w:val="single" w:sz="4" w:space="0" w:color="auto"/>
            </w:tcBorders>
            <w:vAlign w:val="center"/>
            <w:hideMark/>
          </w:tcPr>
          <w:p w:rsidR="002953B4" w:rsidRDefault="002953B4">
            <w:pPr>
              <w:spacing w:after="0" w:line="240" w:lineRule="auto"/>
              <w:ind w:hanging="70"/>
              <w:rPr>
                <w:rFonts w:ascii="Arial" w:eastAsia="Times New Roman" w:hAnsi="Arial" w:cs="Arial"/>
                <w:i/>
                <w:iCs/>
                <w:sz w:val="16"/>
                <w:szCs w:val="16"/>
                <w:lang w:eastAsia="cs-CZ"/>
              </w:rPr>
            </w:pPr>
            <w:r>
              <w:rPr>
                <w:rFonts w:ascii="Arial" w:eastAsia="Times New Roman" w:hAnsi="Arial" w:cs="Arial"/>
                <w:i/>
                <w:iCs/>
                <w:sz w:val="16"/>
                <w:szCs w:val="16"/>
                <w:lang w:eastAsia="cs-CZ"/>
              </w:rPr>
              <w:t> </w:t>
            </w:r>
          </w:p>
        </w:tc>
        <w:tc>
          <w:tcPr>
            <w:tcW w:w="992" w:type="dxa"/>
            <w:noWrap/>
            <w:vAlign w:val="center"/>
            <w:hideMark/>
          </w:tcPr>
          <w:p w:rsidR="002953B4" w:rsidRDefault="002953B4">
            <w:pPr>
              <w:spacing w:after="0" w:line="276" w:lineRule="auto"/>
              <w:rPr>
                <w:sz w:val="22"/>
                <w:szCs w:val="22"/>
              </w:rPr>
            </w:pPr>
          </w:p>
        </w:tc>
        <w:tc>
          <w:tcPr>
            <w:tcW w:w="850" w:type="dxa"/>
            <w:noWrap/>
            <w:vAlign w:val="center"/>
            <w:hideMark/>
          </w:tcPr>
          <w:p w:rsidR="002953B4" w:rsidRDefault="002953B4">
            <w:pPr>
              <w:spacing w:after="0" w:line="276" w:lineRule="auto"/>
              <w:rPr>
                <w:sz w:val="22"/>
                <w:szCs w:val="22"/>
              </w:rPr>
            </w:pPr>
          </w:p>
        </w:tc>
      </w:tr>
      <w:tr w:rsidR="002953B4" w:rsidTr="002953B4">
        <w:trPr>
          <w:trHeight w:val="315"/>
        </w:trPr>
        <w:tc>
          <w:tcPr>
            <w:tcW w:w="567" w:type="dxa"/>
            <w:tcBorders>
              <w:top w:val="nil"/>
              <w:left w:val="single" w:sz="12" w:space="0" w:color="auto"/>
              <w:bottom w:val="single" w:sz="4" w:space="0" w:color="auto"/>
              <w:right w:val="nil"/>
            </w:tcBorders>
            <w:noWrap/>
            <w:vAlign w:val="center"/>
            <w:hideMark/>
          </w:tcPr>
          <w:p w:rsidR="002953B4" w:rsidRDefault="002953B4">
            <w:pPr>
              <w:spacing w:after="0" w:line="240" w:lineRule="auto"/>
              <w:ind w:hanging="284"/>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c>
          <w:tcPr>
            <w:tcW w:w="993" w:type="dxa"/>
            <w:tcBorders>
              <w:top w:val="nil"/>
              <w:left w:val="nil"/>
              <w:bottom w:val="single" w:sz="4" w:space="0" w:color="auto"/>
              <w:right w:val="nil"/>
            </w:tcBorders>
            <w:noWrap/>
            <w:vAlign w:val="center"/>
            <w:hideMark/>
          </w:tcPr>
          <w:p w:rsidR="002953B4" w:rsidRDefault="002953B4">
            <w:pPr>
              <w:spacing w:after="0" w:line="240" w:lineRule="auto"/>
              <w:ind w:hanging="284"/>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c>
          <w:tcPr>
            <w:tcW w:w="5103" w:type="dxa"/>
            <w:tcBorders>
              <w:top w:val="nil"/>
              <w:left w:val="single" w:sz="4" w:space="0" w:color="auto"/>
              <w:bottom w:val="single" w:sz="4" w:space="0" w:color="auto"/>
              <w:right w:val="single" w:sz="4" w:space="0" w:color="auto"/>
            </w:tcBorders>
            <w:vAlign w:val="center"/>
            <w:hideMark/>
          </w:tcPr>
          <w:p w:rsidR="002953B4" w:rsidRDefault="002953B4">
            <w:pPr>
              <w:spacing w:after="0" w:line="240" w:lineRule="auto"/>
              <w:ind w:hanging="70"/>
              <w:rPr>
                <w:rFonts w:ascii="Arial" w:eastAsia="Times New Roman" w:hAnsi="Arial" w:cs="Arial"/>
                <w:sz w:val="16"/>
                <w:szCs w:val="16"/>
                <w:lang w:eastAsia="cs-CZ"/>
              </w:rPr>
            </w:pPr>
            <w:r>
              <w:rPr>
                <w:rFonts w:ascii="Arial" w:eastAsia="Times New Roman" w:hAnsi="Arial" w:cs="Arial"/>
                <w:sz w:val="16"/>
                <w:szCs w:val="16"/>
                <w:lang w:eastAsia="cs-CZ"/>
              </w:rPr>
              <w:t>Položka obsahuje dodávku a montáž protipožárních ucpávek při prostupu kabelizace zdivem</w:t>
            </w:r>
          </w:p>
        </w:tc>
        <w:tc>
          <w:tcPr>
            <w:tcW w:w="992" w:type="dxa"/>
            <w:tcBorders>
              <w:top w:val="nil"/>
              <w:left w:val="nil"/>
              <w:bottom w:val="single" w:sz="4" w:space="0" w:color="auto"/>
              <w:right w:val="nil"/>
            </w:tcBorders>
            <w:noWrap/>
            <w:vAlign w:val="center"/>
            <w:hideMark/>
          </w:tcPr>
          <w:p w:rsidR="002953B4" w:rsidRDefault="002953B4">
            <w:pPr>
              <w:spacing w:after="0" w:line="240"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c>
          <w:tcPr>
            <w:tcW w:w="850" w:type="dxa"/>
            <w:tcBorders>
              <w:top w:val="nil"/>
              <w:left w:val="nil"/>
              <w:bottom w:val="single" w:sz="4" w:space="0" w:color="auto"/>
              <w:right w:val="nil"/>
            </w:tcBorders>
            <w:noWrap/>
            <w:vAlign w:val="center"/>
            <w:hideMark/>
          </w:tcPr>
          <w:p w:rsidR="002953B4" w:rsidRDefault="002953B4">
            <w:pPr>
              <w:spacing w:after="0" w:line="240"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r>
      <w:tr w:rsidR="002953B4" w:rsidTr="002953B4">
        <w:trPr>
          <w:trHeight w:val="315"/>
        </w:trPr>
        <w:tc>
          <w:tcPr>
            <w:tcW w:w="567" w:type="dxa"/>
            <w:tcBorders>
              <w:top w:val="single" w:sz="8" w:space="0" w:color="auto"/>
              <w:left w:val="single" w:sz="12" w:space="0" w:color="auto"/>
              <w:bottom w:val="single" w:sz="8" w:space="0" w:color="auto"/>
              <w:right w:val="single" w:sz="4" w:space="0" w:color="auto"/>
            </w:tcBorders>
            <w:shd w:val="clear" w:color="auto" w:fill="FFFFFF"/>
            <w:noWrap/>
            <w:vAlign w:val="center"/>
            <w:hideMark/>
          </w:tcPr>
          <w:p w:rsidR="002953B4" w:rsidRDefault="002953B4">
            <w:pPr>
              <w:spacing w:after="0" w:line="240"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101</w:t>
            </w:r>
          </w:p>
        </w:tc>
        <w:tc>
          <w:tcPr>
            <w:tcW w:w="993" w:type="dxa"/>
            <w:tcBorders>
              <w:top w:val="single" w:sz="8" w:space="0" w:color="auto"/>
              <w:left w:val="nil"/>
              <w:bottom w:val="single" w:sz="8" w:space="0" w:color="auto"/>
              <w:right w:val="single" w:sz="4" w:space="0" w:color="auto"/>
            </w:tcBorders>
            <w:noWrap/>
            <w:vAlign w:val="center"/>
            <w:hideMark/>
          </w:tcPr>
          <w:p w:rsidR="002953B4" w:rsidRDefault="002953B4">
            <w:pPr>
              <w:spacing w:after="0" w:line="240"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R5-položka</w:t>
            </w:r>
          </w:p>
        </w:tc>
        <w:tc>
          <w:tcPr>
            <w:tcW w:w="5103" w:type="dxa"/>
            <w:tcBorders>
              <w:top w:val="single" w:sz="8" w:space="0" w:color="auto"/>
              <w:left w:val="nil"/>
              <w:bottom w:val="single" w:sz="8" w:space="0" w:color="auto"/>
              <w:right w:val="single" w:sz="4" w:space="0" w:color="auto"/>
            </w:tcBorders>
            <w:vAlign w:val="center"/>
            <w:hideMark/>
          </w:tcPr>
          <w:p w:rsidR="002953B4" w:rsidRDefault="002953B4">
            <w:pPr>
              <w:spacing w:after="0" w:line="240" w:lineRule="auto"/>
              <w:ind w:hanging="70"/>
              <w:rPr>
                <w:rFonts w:ascii="Arial" w:eastAsia="Times New Roman" w:hAnsi="Arial" w:cs="Arial"/>
                <w:sz w:val="16"/>
                <w:szCs w:val="16"/>
                <w:lang w:eastAsia="cs-CZ"/>
              </w:rPr>
            </w:pPr>
            <w:r>
              <w:rPr>
                <w:rFonts w:ascii="Arial" w:eastAsia="Times New Roman" w:hAnsi="Arial" w:cs="Arial"/>
                <w:sz w:val="16"/>
                <w:szCs w:val="16"/>
                <w:lang w:eastAsia="cs-CZ"/>
              </w:rPr>
              <w:t>KABELOVÉ UCPÁVKY PROTI VODĚ</w:t>
            </w:r>
          </w:p>
        </w:tc>
        <w:tc>
          <w:tcPr>
            <w:tcW w:w="992" w:type="dxa"/>
            <w:tcBorders>
              <w:top w:val="single" w:sz="8" w:space="0" w:color="auto"/>
              <w:left w:val="nil"/>
              <w:bottom w:val="single" w:sz="8" w:space="0" w:color="auto"/>
              <w:right w:val="single" w:sz="4" w:space="0" w:color="auto"/>
            </w:tcBorders>
            <w:noWrap/>
            <w:vAlign w:val="center"/>
            <w:hideMark/>
          </w:tcPr>
          <w:p w:rsidR="002953B4" w:rsidRDefault="002953B4">
            <w:pPr>
              <w:spacing w:after="0" w:line="240"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SOUB</w:t>
            </w:r>
          </w:p>
        </w:tc>
        <w:tc>
          <w:tcPr>
            <w:tcW w:w="850" w:type="dxa"/>
            <w:tcBorders>
              <w:top w:val="single" w:sz="8" w:space="0" w:color="auto"/>
              <w:left w:val="nil"/>
              <w:bottom w:val="single" w:sz="8" w:space="0" w:color="auto"/>
              <w:right w:val="single" w:sz="4" w:space="0" w:color="auto"/>
            </w:tcBorders>
            <w:noWrap/>
            <w:vAlign w:val="center"/>
            <w:hideMark/>
          </w:tcPr>
          <w:p w:rsidR="002953B4" w:rsidRDefault="002953B4">
            <w:pPr>
              <w:spacing w:after="0" w:line="240"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1,000</w:t>
            </w:r>
          </w:p>
        </w:tc>
      </w:tr>
      <w:tr w:rsidR="002953B4" w:rsidTr="002953B4">
        <w:trPr>
          <w:trHeight w:val="300"/>
        </w:trPr>
        <w:tc>
          <w:tcPr>
            <w:tcW w:w="567" w:type="dxa"/>
            <w:tcBorders>
              <w:top w:val="nil"/>
              <w:left w:val="single" w:sz="12" w:space="0" w:color="auto"/>
              <w:bottom w:val="nil"/>
              <w:right w:val="nil"/>
            </w:tcBorders>
            <w:noWrap/>
            <w:vAlign w:val="center"/>
            <w:hideMark/>
          </w:tcPr>
          <w:p w:rsidR="002953B4" w:rsidRDefault="002953B4">
            <w:pPr>
              <w:spacing w:after="0" w:line="240" w:lineRule="auto"/>
              <w:ind w:hanging="284"/>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c>
          <w:tcPr>
            <w:tcW w:w="993" w:type="dxa"/>
            <w:noWrap/>
            <w:vAlign w:val="center"/>
            <w:hideMark/>
          </w:tcPr>
          <w:p w:rsidR="002953B4" w:rsidRDefault="002953B4">
            <w:pPr>
              <w:spacing w:after="0" w:line="276" w:lineRule="auto"/>
              <w:rPr>
                <w:sz w:val="22"/>
                <w:szCs w:val="22"/>
              </w:rPr>
            </w:pPr>
          </w:p>
        </w:tc>
        <w:tc>
          <w:tcPr>
            <w:tcW w:w="5103" w:type="dxa"/>
            <w:tcBorders>
              <w:top w:val="nil"/>
              <w:left w:val="single" w:sz="4" w:space="0" w:color="auto"/>
              <w:bottom w:val="single" w:sz="4" w:space="0" w:color="auto"/>
              <w:right w:val="single" w:sz="4" w:space="0" w:color="auto"/>
            </w:tcBorders>
            <w:vAlign w:val="center"/>
            <w:hideMark/>
          </w:tcPr>
          <w:p w:rsidR="002953B4" w:rsidRDefault="002953B4">
            <w:pPr>
              <w:spacing w:after="0" w:line="240" w:lineRule="auto"/>
              <w:ind w:hanging="70"/>
              <w:rPr>
                <w:rFonts w:ascii="Arial" w:eastAsia="Times New Roman" w:hAnsi="Arial" w:cs="Arial"/>
                <w:sz w:val="16"/>
                <w:szCs w:val="16"/>
                <w:lang w:eastAsia="cs-CZ"/>
              </w:rPr>
            </w:pPr>
            <w:r>
              <w:rPr>
                <w:rFonts w:ascii="Arial" w:eastAsia="Times New Roman" w:hAnsi="Arial" w:cs="Arial"/>
                <w:sz w:val="16"/>
                <w:szCs w:val="16"/>
                <w:lang w:eastAsia="cs-CZ"/>
              </w:rPr>
              <w:t> </w:t>
            </w:r>
          </w:p>
        </w:tc>
        <w:tc>
          <w:tcPr>
            <w:tcW w:w="992" w:type="dxa"/>
            <w:noWrap/>
            <w:vAlign w:val="center"/>
            <w:hideMark/>
          </w:tcPr>
          <w:p w:rsidR="002953B4" w:rsidRDefault="002953B4">
            <w:pPr>
              <w:spacing w:after="0" w:line="276" w:lineRule="auto"/>
              <w:rPr>
                <w:sz w:val="22"/>
                <w:szCs w:val="22"/>
              </w:rPr>
            </w:pPr>
          </w:p>
        </w:tc>
        <w:tc>
          <w:tcPr>
            <w:tcW w:w="850" w:type="dxa"/>
            <w:noWrap/>
            <w:vAlign w:val="center"/>
            <w:hideMark/>
          </w:tcPr>
          <w:p w:rsidR="002953B4" w:rsidRDefault="002953B4">
            <w:pPr>
              <w:spacing w:after="0" w:line="276" w:lineRule="auto"/>
              <w:rPr>
                <w:sz w:val="22"/>
                <w:szCs w:val="22"/>
              </w:rPr>
            </w:pPr>
          </w:p>
        </w:tc>
      </w:tr>
      <w:tr w:rsidR="002953B4" w:rsidTr="002953B4">
        <w:trPr>
          <w:trHeight w:val="300"/>
        </w:trPr>
        <w:tc>
          <w:tcPr>
            <w:tcW w:w="567" w:type="dxa"/>
            <w:tcBorders>
              <w:top w:val="nil"/>
              <w:left w:val="single" w:sz="12" w:space="0" w:color="auto"/>
              <w:bottom w:val="nil"/>
              <w:right w:val="nil"/>
            </w:tcBorders>
            <w:noWrap/>
            <w:vAlign w:val="center"/>
            <w:hideMark/>
          </w:tcPr>
          <w:p w:rsidR="002953B4" w:rsidRDefault="002953B4">
            <w:pPr>
              <w:spacing w:after="0" w:line="240" w:lineRule="auto"/>
              <w:ind w:hanging="284"/>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c>
          <w:tcPr>
            <w:tcW w:w="993" w:type="dxa"/>
            <w:noWrap/>
            <w:vAlign w:val="center"/>
            <w:hideMark/>
          </w:tcPr>
          <w:p w:rsidR="002953B4" w:rsidRDefault="002953B4">
            <w:pPr>
              <w:spacing w:after="0" w:line="276" w:lineRule="auto"/>
              <w:rPr>
                <w:sz w:val="22"/>
                <w:szCs w:val="22"/>
              </w:rPr>
            </w:pPr>
          </w:p>
        </w:tc>
        <w:tc>
          <w:tcPr>
            <w:tcW w:w="5103" w:type="dxa"/>
            <w:tcBorders>
              <w:top w:val="nil"/>
              <w:left w:val="single" w:sz="4" w:space="0" w:color="auto"/>
              <w:bottom w:val="single" w:sz="4" w:space="0" w:color="auto"/>
              <w:right w:val="single" w:sz="4" w:space="0" w:color="auto"/>
            </w:tcBorders>
            <w:vAlign w:val="center"/>
            <w:hideMark/>
          </w:tcPr>
          <w:p w:rsidR="002953B4" w:rsidRDefault="002953B4">
            <w:pPr>
              <w:spacing w:after="0" w:line="240" w:lineRule="auto"/>
              <w:ind w:hanging="70"/>
              <w:rPr>
                <w:rFonts w:ascii="Arial" w:eastAsia="Times New Roman" w:hAnsi="Arial" w:cs="Arial"/>
                <w:i/>
                <w:iCs/>
                <w:sz w:val="16"/>
                <w:szCs w:val="16"/>
                <w:lang w:eastAsia="cs-CZ"/>
              </w:rPr>
            </w:pPr>
            <w:r>
              <w:rPr>
                <w:rFonts w:ascii="Arial" w:eastAsia="Times New Roman" w:hAnsi="Arial" w:cs="Arial"/>
                <w:i/>
                <w:iCs/>
                <w:sz w:val="16"/>
                <w:szCs w:val="16"/>
                <w:lang w:eastAsia="cs-CZ"/>
              </w:rPr>
              <w:t> </w:t>
            </w:r>
          </w:p>
        </w:tc>
        <w:tc>
          <w:tcPr>
            <w:tcW w:w="992" w:type="dxa"/>
            <w:noWrap/>
            <w:vAlign w:val="center"/>
            <w:hideMark/>
          </w:tcPr>
          <w:p w:rsidR="002953B4" w:rsidRDefault="002953B4">
            <w:pPr>
              <w:spacing w:after="0" w:line="276" w:lineRule="auto"/>
              <w:rPr>
                <w:sz w:val="22"/>
                <w:szCs w:val="22"/>
              </w:rPr>
            </w:pPr>
          </w:p>
        </w:tc>
        <w:tc>
          <w:tcPr>
            <w:tcW w:w="850" w:type="dxa"/>
            <w:noWrap/>
            <w:vAlign w:val="center"/>
            <w:hideMark/>
          </w:tcPr>
          <w:p w:rsidR="002953B4" w:rsidRDefault="002953B4">
            <w:pPr>
              <w:spacing w:after="0" w:line="276" w:lineRule="auto"/>
              <w:rPr>
                <w:sz w:val="22"/>
                <w:szCs w:val="22"/>
              </w:rPr>
            </w:pPr>
          </w:p>
        </w:tc>
      </w:tr>
      <w:tr w:rsidR="002953B4" w:rsidTr="002953B4">
        <w:trPr>
          <w:trHeight w:val="315"/>
        </w:trPr>
        <w:tc>
          <w:tcPr>
            <w:tcW w:w="567" w:type="dxa"/>
            <w:tcBorders>
              <w:top w:val="nil"/>
              <w:left w:val="single" w:sz="12" w:space="0" w:color="auto"/>
              <w:bottom w:val="single" w:sz="4" w:space="0" w:color="auto"/>
              <w:right w:val="nil"/>
            </w:tcBorders>
            <w:noWrap/>
            <w:vAlign w:val="center"/>
            <w:hideMark/>
          </w:tcPr>
          <w:p w:rsidR="002953B4" w:rsidRDefault="002953B4">
            <w:pPr>
              <w:spacing w:after="0" w:line="240" w:lineRule="auto"/>
              <w:ind w:hanging="284"/>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c>
          <w:tcPr>
            <w:tcW w:w="993" w:type="dxa"/>
            <w:tcBorders>
              <w:top w:val="nil"/>
              <w:left w:val="nil"/>
              <w:bottom w:val="single" w:sz="4" w:space="0" w:color="auto"/>
              <w:right w:val="nil"/>
            </w:tcBorders>
            <w:noWrap/>
            <w:vAlign w:val="center"/>
            <w:hideMark/>
          </w:tcPr>
          <w:p w:rsidR="002953B4" w:rsidRDefault="002953B4">
            <w:pPr>
              <w:spacing w:after="0" w:line="240" w:lineRule="auto"/>
              <w:ind w:hanging="284"/>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c>
          <w:tcPr>
            <w:tcW w:w="5103" w:type="dxa"/>
            <w:tcBorders>
              <w:top w:val="nil"/>
              <w:left w:val="single" w:sz="4" w:space="0" w:color="auto"/>
              <w:bottom w:val="single" w:sz="4" w:space="0" w:color="auto"/>
              <w:right w:val="single" w:sz="4" w:space="0" w:color="auto"/>
            </w:tcBorders>
            <w:vAlign w:val="center"/>
            <w:hideMark/>
          </w:tcPr>
          <w:p w:rsidR="002953B4" w:rsidRDefault="002953B4">
            <w:pPr>
              <w:spacing w:after="0" w:line="240" w:lineRule="auto"/>
              <w:ind w:hanging="70"/>
              <w:rPr>
                <w:rFonts w:ascii="Arial" w:eastAsia="Times New Roman" w:hAnsi="Arial" w:cs="Arial"/>
                <w:sz w:val="16"/>
                <w:szCs w:val="16"/>
                <w:lang w:eastAsia="cs-CZ"/>
              </w:rPr>
            </w:pPr>
            <w:r>
              <w:rPr>
                <w:rFonts w:ascii="Arial" w:eastAsia="Times New Roman" w:hAnsi="Arial" w:cs="Arial"/>
                <w:sz w:val="16"/>
                <w:szCs w:val="16"/>
                <w:lang w:eastAsia="cs-CZ"/>
              </w:rPr>
              <w:t xml:space="preserve">Položka obsahuje dodávku a montáž  ucpávek proti vniknutí vody přes </w:t>
            </w:r>
            <w:proofErr w:type="gramStart"/>
            <w:r>
              <w:rPr>
                <w:rFonts w:ascii="Arial" w:eastAsia="Times New Roman" w:hAnsi="Arial" w:cs="Arial"/>
                <w:sz w:val="16"/>
                <w:szCs w:val="16"/>
                <w:lang w:eastAsia="cs-CZ"/>
              </w:rPr>
              <w:t>prostupu</w:t>
            </w:r>
            <w:proofErr w:type="gramEnd"/>
            <w:r>
              <w:rPr>
                <w:rFonts w:ascii="Arial" w:eastAsia="Times New Roman" w:hAnsi="Arial" w:cs="Arial"/>
                <w:sz w:val="16"/>
                <w:szCs w:val="16"/>
                <w:lang w:eastAsia="cs-CZ"/>
              </w:rPr>
              <w:t xml:space="preserve"> kabelizace zdivem</w:t>
            </w:r>
          </w:p>
        </w:tc>
        <w:tc>
          <w:tcPr>
            <w:tcW w:w="992" w:type="dxa"/>
            <w:tcBorders>
              <w:top w:val="nil"/>
              <w:left w:val="nil"/>
              <w:bottom w:val="single" w:sz="4" w:space="0" w:color="auto"/>
              <w:right w:val="nil"/>
            </w:tcBorders>
            <w:noWrap/>
            <w:vAlign w:val="center"/>
            <w:hideMark/>
          </w:tcPr>
          <w:p w:rsidR="002953B4" w:rsidRDefault="002953B4">
            <w:pPr>
              <w:spacing w:after="0" w:line="240"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c>
          <w:tcPr>
            <w:tcW w:w="850" w:type="dxa"/>
            <w:tcBorders>
              <w:top w:val="nil"/>
              <w:left w:val="nil"/>
              <w:bottom w:val="single" w:sz="4" w:space="0" w:color="auto"/>
              <w:right w:val="nil"/>
            </w:tcBorders>
            <w:noWrap/>
            <w:vAlign w:val="center"/>
            <w:hideMark/>
          </w:tcPr>
          <w:p w:rsidR="002953B4" w:rsidRDefault="002953B4">
            <w:pPr>
              <w:spacing w:after="0" w:line="240"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r>
    </w:tbl>
    <w:p w:rsidR="002953B4" w:rsidRPr="0080744A" w:rsidRDefault="002953B4" w:rsidP="002953B4">
      <w:pPr>
        <w:pStyle w:val="Odstavecseseznamem"/>
        <w:ind w:left="0"/>
        <w:rPr>
          <w:sz w:val="22"/>
          <w:szCs w:val="22"/>
        </w:rPr>
      </w:pPr>
      <w:r>
        <w:t>Domníváme se, že v dokumentaci tohoto PS není specifikován bližší popis těchto ucpávek, tj. typy, velikosti, množství</w:t>
      </w:r>
      <w:r w:rsidR="0080744A">
        <w:rPr>
          <w:sz w:val="22"/>
          <w:szCs w:val="22"/>
        </w:rPr>
        <w:t xml:space="preserve"> </w:t>
      </w:r>
      <w:r>
        <w:t>apod. (pro každou položku). Tyto informace jsou nutné pro správné ocenění položek. Žádáme zadavatele o doplnění.</w:t>
      </w:r>
    </w:p>
    <w:p w:rsidR="002953B4" w:rsidRPr="00BD5319" w:rsidRDefault="002953B4" w:rsidP="002953B4">
      <w:pPr>
        <w:spacing w:after="0" w:line="240" w:lineRule="auto"/>
        <w:rPr>
          <w:rFonts w:eastAsia="Calibri" w:cs="Times New Roman"/>
          <w:b/>
          <w:lang w:eastAsia="cs-CZ"/>
        </w:rPr>
      </w:pPr>
    </w:p>
    <w:p w:rsidR="002953B4" w:rsidRPr="00BD5319" w:rsidRDefault="002953B4" w:rsidP="002953B4">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rsidR="00617639" w:rsidRPr="00617639" w:rsidRDefault="00617639" w:rsidP="00617639">
      <w:pPr>
        <w:spacing w:after="0" w:line="240" w:lineRule="auto"/>
        <w:rPr>
          <w:rFonts w:eastAsia="Times New Roman" w:cs="Times New Roman"/>
          <w:i/>
          <w:lang w:eastAsia="cs-CZ"/>
        </w:rPr>
      </w:pPr>
      <w:r w:rsidRPr="00617639">
        <w:rPr>
          <w:rFonts w:eastAsia="Times New Roman" w:cs="Times New Roman"/>
          <w:i/>
          <w:lang w:eastAsia="cs-CZ"/>
        </w:rPr>
        <w:t xml:space="preserve">Protipožární ucpávky jsou dostatečně specifikovány počtem a velikostí prostupů kabelizace zdivem, viz výkres č. 0501 „Umístění zařízení ve stavědlové ústředně – odbočka </w:t>
      </w:r>
      <w:proofErr w:type="spellStart"/>
      <w:r w:rsidRPr="00617639">
        <w:rPr>
          <w:rFonts w:eastAsia="Times New Roman" w:cs="Times New Roman"/>
          <w:i/>
          <w:lang w:eastAsia="cs-CZ"/>
        </w:rPr>
        <w:t>Odb</w:t>
      </w:r>
      <w:proofErr w:type="spellEnd"/>
      <w:r w:rsidRPr="00617639">
        <w:rPr>
          <w:rFonts w:eastAsia="Times New Roman" w:cs="Times New Roman"/>
          <w:i/>
          <w:lang w:eastAsia="cs-CZ"/>
        </w:rPr>
        <w:t xml:space="preserve"> Bezpráví“, prostorové obsazení prostupů kabely bude řešit realizační dokumentace. Bližší specifikace by již musela odkazovat na konkrétní výrobek.</w:t>
      </w:r>
    </w:p>
    <w:p w:rsidR="00617639" w:rsidRPr="00617639" w:rsidRDefault="00617639" w:rsidP="00617639">
      <w:pPr>
        <w:spacing w:after="0" w:line="240" w:lineRule="auto"/>
        <w:rPr>
          <w:rFonts w:eastAsia="Times New Roman" w:cs="Times New Roman"/>
          <w:i/>
          <w:lang w:eastAsia="cs-CZ"/>
        </w:rPr>
      </w:pPr>
      <w:r w:rsidRPr="00617639">
        <w:rPr>
          <w:rFonts w:eastAsia="Times New Roman" w:cs="Times New Roman"/>
          <w:i/>
          <w:lang w:eastAsia="cs-CZ"/>
        </w:rPr>
        <w:t>Ucpávky proti vodě jsou dostatečně specifikovány velikostí vstupního otvoru pro venkovní kabely a počtem a dimenzí vstupujících kabelů – viz v. č. 1030 „Schéma kabelů“. Bližší specifikace by již musela odkazovat na konkrétní výrobek.</w:t>
      </w:r>
    </w:p>
    <w:p w:rsidR="002953B4" w:rsidRDefault="002953B4" w:rsidP="00BD5319">
      <w:pPr>
        <w:spacing w:after="0" w:line="240" w:lineRule="auto"/>
        <w:rPr>
          <w:rFonts w:eastAsia="Times New Roman" w:cs="Times New Roman"/>
          <w:b/>
          <w:color w:val="FF0000"/>
          <w:lang w:eastAsia="cs-CZ"/>
        </w:rPr>
      </w:pPr>
    </w:p>
    <w:p w:rsidR="002953B4" w:rsidRDefault="002953B4" w:rsidP="00BD5319">
      <w:pPr>
        <w:spacing w:after="0" w:line="240" w:lineRule="auto"/>
        <w:rPr>
          <w:rFonts w:eastAsia="Times New Roman" w:cs="Times New Roman"/>
          <w:b/>
          <w:color w:val="FF0000"/>
          <w:lang w:eastAsia="cs-CZ"/>
        </w:rPr>
      </w:pPr>
    </w:p>
    <w:p w:rsidR="002953B4" w:rsidRPr="00871912" w:rsidRDefault="002953B4" w:rsidP="002953B4">
      <w:pPr>
        <w:spacing w:after="0" w:line="240" w:lineRule="auto"/>
        <w:rPr>
          <w:rFonts w:eastAsia="Calibri" w:cs="Times New Roman"/>
          <w:b/>
          <w:lang w:eastAsia="cs-CZ"/>
        </w:rPr>
      </w:pPr>
      <w:r w:rsidRPr="00871912">
        <w:rPr>
          <w:rFonts w:eastAsia="Calibri" w:cs="Times New Roman"/>
          <w:b/>
          <w:lang w:eastAsia="cs-CZ"/>
        </w:rPr>
        <w:t>Dotaz č. 1</w:t>
      </w:r>
      <w:r>
        <w:rPr>
          <w:rFonts w:eastAsia="Calibri" w:cs="Times New Roman"/>
          <w:b/>
          <w:lang w:eastAsia="cs-CZ"/>
        </w:rPr>
        <w:t>8</w:t>
      </w:r>
      <w:r w:rsidRPr="00871912">
        <w:rPr>
          <w:rFonts w:eastAsia="Calibri" w:cs="Times New Roman"/>
          <w:b/>
          <w:lang w:eastAsia="cs-CZ"/>
        </w:rPr>
        <w:t>:</w:t>
      </w:r>
    </w:p>
    <w:p w:rsidR="002953B4" w:rsidRDefault="002953B4" w:rsidP="0080744A">
      <w:pPr>
        <w:pStyle w:val="Odstavecseseznamem"/>
        <w:spacing w:after="200" w:line="276" w:lineRule="auto"/>
        <w:ind w:left="0"/>
      </w:pPr>
      <w:r>
        <w:t>PS 05-01-11. Ve výkazu výměr se vyskytují položky č. 148 a 149:</w:t>
      </w:r>
    </w:p>
    <w:tbl>
      <w:tblPr>
        <w:tblW w:w="8505" w:type="dxa"/>
        <w:tblInd w:w="70" w:type="dxa"/>
        <w:tblCellMar>
          <w:left w:w="70" w:type="dxa"/>
          <w:right w:w="70" w:type="dxa"/>
        </w:tblCellMar>
        <w:tblLook w:val="04A0" w:firstRow="1" w:lastRow="0" w:firstColumn="1" w:lastColumn="0" w:noHBand="0" w:noVBand="1"/>
      </w:tblPr>
      <w:tblGrid>
        <w:gridCol w:w="567"/>
        <w:gridCol w:w="993"/>
        <w:gridCol w:w="5103"/>
        <w:gridCol w:w="992"/>
        <w:gridCol w:w="850"/>
      </w:tblGrid>
      <w:tr w:rsidR="002953B4" w:rsidTr="0080744A">
        <w:trPr>
          <w:trHeight w:val="315"/>
        </w:trPr>
        <w:tc>
          <w:tcPr>
            <w:tcW w:w="567" w:type="dxa"/>
            <w:tcBorders>
              <w:top w:val="single" w:sz="8" w:space="0" w:color="auto"/>
              <w:left w:val="single" w:sz="12" w:space="0" w:color="auto"/>
              <w:bottom w:val="single" w:sz="8" w:space="0" w:color="auto"/>
              <w:right w:val="single" w:sz="4" w:space="0" w:color="auto"/>
            </w:tcBorders>
            <w:shd w:val="clear" w:color="auto" w:fill="FFFFFF"/>
            <w:noWrap/>
            <w:vAlign w:val="center"/>
            <w:hideMark/>
          </w:tcPr>
          <w:p w:rsidR="002953B4" w:rsidRDefault="002953B4">
            <w:pPr>
              <w:spacing w:after="0" w:line="240"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148</w:t>
            </w:r>
          </w:p>
        </w:tc>
        <w:tc>
          <w:tcPr>
            <w:tcW w:w="993" w:type="dxa"/>
            <w:tcBorders>
              <w:top w:val="single" w:sz="8" w:space="0" w:color="auto"/>
              <w:left w:val="nil"/>
              <w:bottom w:val="single" w:sz="8" w:space="0" w:color="auto"/>
              <w:right w:val="single" w:sz="4" w:space="0" w:color="auto"/>
            </w:tcBorders>
            <w:noWrap/>
            <w:vAlign w:val="center"/>
            <w:hideMark/>
          </w:tcPr>
          <w:p w:rsidR="002953B4" w:rsidRDefault="002953B4">
            <w:pPr>
              <w:spacing w:after="0" w:line="240" w:lineRule="auto"/>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R4-položka</w:t>
            </w:r>
          </w:p>
        </w:tc>
        <w:tc>
          <w:tcPr>
            <w:tcW w:w="5103" w:type="dxa"/>
            <w:tcBorders>
              <w:top w:val="single" w:sz="8" w:space="0" w:color="auto"/>
              <w:left w:val="nil"/>
              <w:bottom w:val="single" w:sz="8" w:space="0" w:color="auto"/>
              <w:right w:val="single" w:sz="4" w:space="0" w:color="auto"/>
            </w:tcBorders>
            <w:vAlign w:val="center"/>
            <w:hideMark/>
          </w:tcPr>
          <w:p w:rsidR="002953B4" w:rsidRDefault="002953B4">
            <w:pPr>
              <w:spacing w:after="0" w:line="240" w:lineRule="auto"/>
              <w:rPr>
                <w:rFonts w:ascii="Arial" w:eastAsia="Times New Roman" w:hAnsi="Arial" w:cs="Arial"/>
                <w:sz w:val="16"/>
                <w:szCs w:val="16"/>
                <w:lang w:eastAsia="cs-CZ"/>
              </w:rPr>
            </w:pPr>
            <w:r>
              <w:rPr>
                <w:rFonts w:ascii="Arial" w:eastAsia="Times New Roman" w:hAnsi="Arial" w:cs="Arial"/>
                <w:sz w:val="16"/>
                <w:szCs w:val="16"/>
                <w:lang w:eastAsia="cs-CZ"/>
              </w:rPr>
              <w:t xml:space="preserve">PROTIPOŽÁRNÍ UCPÁVKY </w:t>
            </w:r>
          </w:p>
        </w:tc>
        <w:tc>
          <w:tcPr>
            <w:tcW w:w="992" w:type="dxa"/>
            <w:tcBorders>
              <w:top w:val="single" w:sz="8" w:space="0" w:color="auto"/>
              <w:left w:val="nil"/>
              <w:bottom w:val="single" w:sz="8" w:space="0" w:color="auto"/>
              <w:right w:val="single" w:sz="4" w:space="0" w:color="auto"/>
            </w:tcBorders>
            <w:noWrap/>
            <w:vAlign w:val="center"/>
            <w:hideMark/>
          </w:tcPr>
          <w:p w:rsidR="002953B4" w:rsidRDefault="002953B4">
            <w:pPr>
              <w:spacing w:after="0" w:line="240"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SOUB</w:t>
            </w:r>
          </w:p>
        </w:tc>
        <w:tc>
          <w:tcPr>
            <w:tcW w:w="850" w:type="dxa"/>
            <w:tcBorders>
              <w:top w:val="single" w:sz="8" w:space="0" w:color="auto"/>
              <w:left w:val="nil"/>
              <w:bottom w:val="single" w:sz="8" w:space="0" w:color="auto"/>
              <w:right w:val="single" w:sz="4" w:space="0" w:color="auto"/>
            </w:tcBorders>
            <w:noWrap/>
            <w:vAlign w:val="center"/>
            <w:hideMark/>
          </w:tcPr>
          <w:p w:rsidR="002953B4" w:rsidRDefault="002953B4">
            <w:pPr>
              <w:spacing w:after="0" w:line="240"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1,000</w:t>
            </w:r>
          </w:p>
        </w:tc>
      </w:tr>
      <w:tr w:rsidR="002953B4" w:rsidTr="0080744A">
        <w:trPr>
          <w:trHeight w:val="300"/>
        </w:trPr>
        <w:tc>
          <w:tcPr>
            <w:tcW w:w="567" w:type="dxa"/>
            <w:tcBorders>
              <w:top w:val="nil"/>
              <w:left w:val="single" w:sz="12" w:space="0" w:color="auto"/>
              <w:bottom w:val="nil"/>
              <w:right w:val="nil"/>
            </w:tcBorders>
            <w:noWrap/>
            <w:vAlign w:val="center"/>
            <w:hideMark/>
          </w:tcPr>
          <w:p w:rsidR="002953B4" w:rsidRDefault="002953B4">
            <w:pPr>
              <w:spacing w:after="0" w:line="240" w:lineRule="auto"/>
              <w:ind w:hanging="284"/>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c>
          <w:tcPr>
            <w:tcW w:w="993" w:type="dxa"/>
            <w:noWrap/>
            <w:vAlign w:val="center"/>
            <w:hideMark/>
          </w:tcPr>
          <w:p w:rsidR="002953B4" w:rsidRDefault="002953B4">
            <w:pPr>
              <w:spacing w:after="0" w:line="276" w:lineRule="auto"/>
              <w:rPr>
                <w:sz w:val="22"/>
                <w:szCs w:val="22"/>
              </w:rPr>
            </w:pPr>
          </w:p>
        </w:tc>
        <w:tc>
          <w:tcPr>
            <w:tcW w:w="5103" w:type="dxa"/>
            <w:tcBorders>
              <w:top w:val="nil"/>
              <w:left w:val="single" w:sz="4" w:space="0" w:color="auto"/>
              <w:bottom w:val="single" w:sz="4" w:space="0" w:color="auto"/>
              <w:right w:val="single" w:sz="4" w:space="0" w:color="auto"/>
            </w:tcBorders>
            <w:vAlign w:val="center"/>
            <w:hideMark/>
          </w:tcPr>
          <w:p w:rsidR="002953B4" w:rsidRDefault="002953B4">
            <w:pPr>
              <w:spacing w:after="0" w:line="240" w:lineRule="auto"/>
              <w:rPr>
                <w:rFonts w:ascii="Arial" w:eastAsia="Times New Roman" w:hAnsi="Arial" w:cs="Arial"/>
                <w:sz w:val="16"/>
                <w:szCs w:val="16"/>
                <w:lang w:eastAsia="cs-CZ"/>
              </w:rPr>
            </w:pPr>
            <w:r>
              <w:rPr>
                <w:rFonts w:ascii="Arial" w:eastAsia="Times New Roman" w:hAnsi="Arial" w:cs="Arial"/>
                <w:sz w:val="16"/>
                <w:szCs w:val="16"/>
                <w:lang w:eastAsia="cs-CZ"/>
              </w:rPr>
              <w:t> </w:t>
            </w:r>
          </w:p>
        </w:tc>
        <w:tc>
          <w:tcPr>
            <w:tcW w:w="992" w:type="dxa"/>
            <w:noWrap/>
            <w:vAlign w:val="center"/>
            <w:hideMark/>
          </w:tcPr>
          <w:p w:rsidR="002953B4" w:rsidRDefault="002953B4">
            <w:pPr>
              <w:spacing w:after="0" w:line="276" w:lineRule="auto"/>
              <w:rPr>
                <w:sz w:val="22"/>
                <w:szCs w:val="22"/>
              </w:rPr>
            </w:pPr>
          </w:p>
        </w:tc>
        <w:tc>
          <w:tcPr>
            <w:tcW w:w="850" w:type="dxa"/>
            <w:noWrap/>
            <w:vAlign w:val="center"/>
            <w:hideMark/>
          </w:tcPr>
          <w:p w:rsidR="002953B4" w:rsidRDefault="002953B4">
            <w:pPr>
              <w:spacing w:after="0" w:line="276" w:lineRule="auto"/>
              <w:rPr>
                <w:sz w:val="22"/>
                <w:szCs w:val="22"/>
              </w:rPr>
            </w:pPr>
          </w:p>
        </w:tc>
      </w:tr>
      <w:tr w:rsidR="002953B4" w:rsidTr="0080744A">
        <w:trPr>
          <w:trHeight w:val="300"/>
        </w:trPr>
        <w:tc>
          <w:tcPr>
            <w:tcW w:w="567" w:type="dxa"/>
            <w:tcBorders>
              <w:top w:val="nil"/>
              <w:left w:val="single" w:sz="12" w:space="0" w:color="auto"/>
              <w:bottom w:val="nil"/>
              <w:right w:val="nil"/>
            </w:tcBorders>
            <w:noWrap/>
            <w:vAlign w:val="center"/>
            <w:hideMark/>
          </w:tcPr>
          <w:p w:rsidR="002953B4" w:rsidRDefault="002953B4">
            <w:pPr>
              <w:spacing w:after="0" w:line="240" w:lineRule="auto"/>
              <w:ind w:hanging="284"/>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c>
          <w:tcPr>
            <w:tcW w:w="993" w:type="dxa"/>
            <w:noWrap/>
            <w:vAlign w:val="center"/>
            <w:hideMark/>
          </w:tcPr>
          <w:p w:rsidR="002953B4" w:rsidRDefault="002953B4">
            <w:pPr>
              <w:spacing w:after="0" w:line="276" w:lineRule="auto"/>
              <w:rPr>
                <w:sz w:val="22"/>
                <w:szCs w:val="22"/>
              </w:rPr>
            </w:pPr>
          </w:p>
        </w:tc>
        <w:tc>
          <w:tcPr>
            <w:tcW w:w="5103" w:type="dxa"/>
            <w:tcBorders>
              <w:top w:val="nil"/>
              <w:left w:val="single" w:sz="4" w:space="0" w:color="auto"/>
              <w:bottom w:val="single" w:sz="4" w:space="0" w:color="auto"/>
              <w:right w:val="single" w:sz="4" w:space="0" w:color="auto"/>
            </w:tcBorders>
            <w:vAlign w:val="center"/>
            <w:hideMark/>
          </w:tcPr>
          <w:p w:rsidR="002953B4" w:rsidRDefault="002953B4">
            <w:pPr>
              <w:spacing w:after="0" w:line="240" w:lineRule="auto"/>
              <w:rPr>
                <w:rFonts w:ascii="Arial" w:eastAsia="Times New Roman" w:hAnsi="Arial" w:cs="Arial"/>
                <w:i/>
                <w:iCs/>
                <w:sz w:val="16"/>
                <w:szCs w:val="16"/>
                <w:lang w:eastAsia="cs-CZ"/>
              </w:rPr>
            </w:pPr>
            <w:r>
              <w:rPr>
                <w:rFonts w:ascii="Arial" w:eastAsia="Times New Roman" w:hAnsi="Arial" w:cs="Arial"/>
                <w:i/>
                <w:iCs/>
                <w:sz w:val="16"/>
                <w:szCs w:val="16"/>
                <w:lang w:eastAsia="cs-CZ"/>
              </w:rPr>
              <w:t> </w:t>
            </w:r>
          </w:p>
        </w:tc>
        <w:tc>
          <w:tcPr>
            <w:tcW w:w="992" w:type="dxa"/>
            <w:noWrap/>
            <w:vAlign w:val="center"/>
            <w:hideMark/>
          </w:tcPr>
          <w:p w:rsidR="002953B4" w:rsidRDefault="002953B4">
            <w:pPr>
              <w:spacing w:after="0" w:line="276" w:lineRule="auto"/>
              <w:rPr>
                <w:sz w:val="22"/>
                <w:szCs w:val="22"/>
              </w:rPr>
            </w:pPr>
          </w:p>
        </w:tc>
        <w:tc>
          <w:tcPr>
            <w:tcW w:w="850" w:type="dxa"/>
            <w:noWrap/>
            <w:vAlign w:val="center"/>
            <w:hideMark/>
          </w:tcPr>
          <w:p w:rsidR="002953B4" w:rsidRDefault="002953B4">
            <w:pPr>
              <w:spacing w:after="0" w:line="276" w:lineRule="auto"/>
              <w:rPr>
                <w:sz w:val="22"/>
                <w:szCs w:val="22"/>
              </w:rPr>
            </w:pPr>
          </w:p>
        </w:tc>
      </w:tr>
      <w:tr w:rsidR="002953B4" w:rsidTr="0080744A">
        <w:trPr>
          <w:trHeight w:val="315"/>
        </w:trPr>
        <w:tc>
          <w:tcPr>
            <w:tcW w:w="567" w:type="dxa"/>
            <w:tcBorders>
              <w:top w:val="nil"/>
              <w:left w:val="single" w:sz="12" w:space="0" w:color="auto"/>
              <w:bottom w:val="single" w:sz="4" w:space="0" w:color="auto"/>
              <w:right w:val="nil"/>
            </w:tcBorders>
            <w:noWrap/>
            <w:vAlign w:val="center"/>
            <w:hideMark/>
          </w:tcPr>
          <w:p w:rsidR="002953B4" w:rsidRDefault="002953B4">
            <w:pPr>
              <w:spacing w:after="0" w:line="240" w:lineRule="auto"/>
              <w:ind w:hanging="284"/>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c>
          <w:tcPr>
            <w:tcW w:w="993" w:type="dxa"/>
            <w:tcBorders>
              <w:top w:val="nil"/>
              <w:left w:val="nil"/>
              <w:bottom w:val="single" w:sz="4" w:space="0" w:color="auto"/>
              <w:right w:val="nil"/>
            </w:tcBorders>
            <w:noWrap/>
            <w:vAlign w:val="center"/>
            <w:hideMark/>
          </w:tcPr>
          <w:p w:rsidR="002953B4" w:rsidRDefault="002953B4">
            <w:pPr>
              <w:spacing w:after="0" w:line="240" w:lineRule="auto"/>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c>
          <w:tcPr>
            <w:tcW w:w="5103" w:type="dxa"/>
            <w:tcBorders>
              <w:top w:val="nil"/>
              <w:left w:val="single" w:sz="4" w:space="0" w:color="auto"/>
              <w:bottom w:val="single" w:sz="4" w:space="0" w:color="auto"/>
              <w:right w:val="single" w:sz="4" w:space="0" w:color="auto"/>
            </w:tcBorders>
            <w:vAlign w:val="center"/>
            <w:hideMark/>
          </w:tcPr>
          <w:p w:rsidR="002953B4" w:rsidRDefault="002953B4">
            <w:pPr>
              <w:spacing w:after="0" w:line="240" w:lineRule="auto"/>
              <w:rPr>
                <w:rFonts w:ascii="Arial" w:eastAsia="Times New Roman" w:hAnsi="Arial" w:cs="Arial"/>
                <w:sz w:val="16"/>
                <w:szCs w:val="16"/>
                <w:lang w:eastAsia="cs-CZ"/>
              </w:rPr>
            </w:pPr>
            <w:r>
              <w:rPr>
                <w:rFonts w:ascii="Arial" w:eastAsia="Times New Roman" w:hAnsi="Arial" w:cs="Arial"/>
                <w:sz w:val="16"/>
                <w:szCs w:val="16"/>
                <w:lang w:eastAsia="cs-CZ"/>
              </w:rPr>
              <w:t>Položka obsahuje dodávku a montáž protipožárních ucpávek při prostupu kabelizace zdivem</w:t>
            </w:r>
          </w:p>
        </w:tc>
        <w:tc>
          <w:tcPr>
            <w:tcW w:w="992" w:type="dxa"/>
            <w:tcBorders>
              <w:top w:val="nil"/>
              <w:left w:val="nil"/>
              <w:bottom w:val="single" w:sz="4" w:space="0" w:color="auto"/>
              <w:right w:val="nil"/>
            </w:tcBorders>
            <w:noWrap/>
            <w:vAlign w:val="center"/>
            <w:hideMark/>
          </w:tcPr>
          <w:p w:rsidR="002953B4" w:rsidRDefault="002953B4">
            <w:pPr>
              <w:spacing w:after="0" w:line="240"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c>
          <w:tcPr>
            <w:tcW w:w="850" w:type="dxa"/>
            <w:tcBorders>
              <w:top w:val="nil"/>
              <w:left w:val="nil"/>
              <w:bottom w:val="single" w:sz="4" w:space="0" w:color="auto"/>
              <w:right w:val="nil"/>
            </w:tcBorders>
            <w:noWrap/>
            <w:vAlign w:val="center"/>
            <w:hideMark/>
          </w:tcPr>
          <w:p w:rsidR="002953B4" w:rsidRDefault="002953B4">
            <w:pPr>
              <w:spacing w:after="0" w:line="240"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r>
      <w:tr w:rsidR="002953B4" w:rsidTr="0080744A">
        <w:trPr>
          <w:trHeight w:val="315"/>
        </w:trPr>
        <w:tc>
          <w:tcPr>
            <w:tcW w:w="567" w:type="dxa"/>
            <w:tcBorders>
              <w:top w:val="single" w:sz="8" w:space="0" w:color="auto"/>
              <w:left w:val="single" w:sz="12" w:space="0" w:color="auto"/>
              <w:bottom w:val="single" w:sz="8" w:space="0" w:color="auto"/>
              <w:right w:val="single" w:sz="4" w:space="0" w:color="auto"/>
            </w:tcBorders>
            <w:shd w:val="clear" w:color="auto" w:fill="FFFFFF"/>
            <w:noWrap/>
            <w:vAlign w:val="center"/>
            <w:hideMark/>
          </w:tcPr>
          <w:p w:rsidR="002953B4" w:rsidRDefault="002953B4">
            <w:pPr>
              <w:spacing w:after="0" w:line="240"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149</w:t>
            </w:r>
          </w:p>
        </w:tc>
        <w:tc>
          <w:tcPr>
            <w:tcW w:w="993" w:type="dxa"/>
            <w:tcBorders>
              <w:top w:val="single" w:sz="8" w:space="0" w:color="auto"/>
              <w:left w:val="nil"/>
              <w:bottom w:val="single" w:sz="8" w:space="0" w:color="auto"/>
              <w:right w:val="single" w:sz="4" w:space="0" w:color="auto"/>
            </w:tcBorders>
            <w:noWrap/>
            <w:vAlign w:val="center"/>
            <w:hideMark/>
          </w:tcPr>
          <w:p w:rsidR="002953B4" w:rsidRDefault="002953B4">
            <w:pPr>
              <w:spacing w:after="0" w:line="240" w:lineRule="auto"/>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R5-položka</w:t>
            </w:r>
          </w:p>
        </w:tc>
        <w:tc>
          <w:tcPr>
            <w:tcW w:w="5103" w:type="dxa"/>
            <w:tcBorders>
              <w:top w:val="single" w:sz="8" w:space="0" w:color="auto"/>
              <w:left w:val="nil"/>
              <w:bottom w:val="single" w:sz="8" w:space="0" w:color="auto"/>
              <w:right w:val="single" w:sz="4" w:space="0" w:color="auto"/>
            </w:tcBorders>
            <w:vAlign w:val="center"/>
            <w:hideMark/>
          </w:tcPr>
          <w:p w:rsidR="002953B4" w:rsidRDefault="002953B4">
            <w:pPr>
              <w:spacing w:after="0" w:line="240" w:lineRule="auto"/>
              <w:rPr>
                <w:rFonts w:ascii="Arial" w:eastAsia="Times New Roman" w:hAnsi="Arial" w:cs="Arial"/>
                <w:sz w:val="16"/>
                <w:szCs w:val="16"/>
                <w:lang w:eastAsia="cs-CZ"/>
              </w:rPr>
            </w:pPr>
            <w:r>
              <w:rPr>
                <w:rFonts w:ascii="Arial" w:eastAsia="Times New Roman" w:hAnsi="Arial" w:cs="Arial"/>
                <w:sz w:val="16"/>
                <w:szCs w:val="16"/>
                <w:lang w:eastAsia="cs-CZ"/>
              </w:rPr>
              <w:t>KABELOVÉ UCPÁVKY PROTI VODĚ</w:t>
            </w:r>
          </w:p>
        </w:tc>
        <w:tc>
          <w:tcPr>
            <w:tcW w:w="992" w:type="dxa"/>
            <w:tcBorders>
              <w:top w:val="single" w:sz="8" w:space="0" w:color="auto"/>
              <w:left w:val="nil"/>
              <w:bottom w:val="single" w:sz="8" w:space="0" w:color="auto"/>
              <w:right w:val="single" w:sz="4" w:space="0" w:color="auto"/>
            </w:tcBorders>
            <w:noWrap/>
            <w:vAlign w:val="center"/>
            <w:hideMark/>
          </w:tcPr>
          <w:p w:rsidR="002953B4" w:rsidRDefault="002953B4">
            <w:pPr>
              <w:spacing w:after="0" w:line="240"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SOUB</w:t>
            </w:r>
          </w:p>
        </w:tc>
        <w:tc>
          <w:tcPr>
            <w:tcW w:w="850" w:type="dxa"/>
            <w:tcBorders>
              <w:top w:val="single" w:sz="8" w:space="0" w:color="auto"/>
              <w:left w:val="nil"/>
              <w:bottom w:val="single" w:sz="8" w:space="0" w:color="auto"/>
              <w:right w:val="single" w:sz="4" w:space="0" w:color="auto"/>
            </w:tcBorders>
            <w:noWrap/>
            <w:vAlign w:val="center"/>
            <w:hideMark/>
          </w:tcPr>
          <w:p w:rsidR="002953B4" w:rsidRDefault="002953B4">
            <w:pPr>
              <w:spacing w:after="0" w:line="240"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1,000</w:t>
            </w:r>
          </w:p>
        </w:tc>
      </w:tr>
      <w:tr w:rsidR="002953B4" w:rsidTr="0080744A">
        <w:trPr>
          <w:trHeight w:val="300"/>
        </w:trPr>
        <w:tc>
          <w:tcPr>
            <w:tcW w:w="567" w:type="dxa"/>
            <w:tcBorders>
              <w:top w:val="nil"/>
              <w:left w:val="single" w:sz="12" w:space="0" w:color="auto"/>
              <w:bottom w:val="nil"/>
              <w:right w:val="nil"/>
            </w:tcBorders>
            <w:noWrap/>
            <w:vAlign w:val="center"/>
            <w:hideMark/>
          </w:tcPr>
          <w:p w:rsidR="002953B4" w:rsidRDefault="002953B4">
            <w:pPr>
              <w:spacing w:after="0" w:line="240" w:lineRule="auto"/>
              <w:ind w:hanging="284"/>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lastRenderedPageBreak/>
              <w:t> </w:t>
            </w:r>
          </w:p>
        </w:tc>
        <w:tc>
          <w:tcPr>
            <w:tcW w:w="993" w:type="dxa"/>
            <w:noWrap/>
            <w:vAlign w:val="center"/>
            <w:hideMark/>
          </w:tcPr>
          <w:p w:rsidR="002953B4" w:rsidRDefault="002953B4">
            <w:pPr>
              <w:spacing w:after="0" w:line="276" w:lineRule="auto"/>
              <w:rPr>
                <w:sz w:val="22"/>
                <w:szCs w:val="22"/>
              </w:rPr>
            </w:pPr>
          </w:p>
        </w:tc>
        <w:tc>
          <w:tcPr>
            <w:tcW w:w="5103" w:type="dxa"/>
            <w:tcBorders>
              <w:top w:val="nil"/>
              <w:left w:val="single" w:sz="4" w:space="0" w:color="auto"/>
              <w:bottom w:val="single" w:sz="4" w:space="0" w:color="auto"/>
              <w:right w:val="single" w:sz="4" w:space="0" w:color="auto"/>
            </w:tcBorders>
            <w:vAlign w:val="center"/>
            <w:hideMark/>
          </w:tcPr>
          <w:p w:rsidR="002953B4" w:rsidRDefault="002953B4">
            <w:pPr>
              <w:spacing w:after="0" w:line="240" w:lineRule="auto"/>
              <w:rPr>
                <w:rFonts w:ascii="Arial" w:eastAsia="Times New Roman" w:hAnsi="Arial" w:cs="Arial"/>
                <w:sz w:val="16"/>
                <w:szCs w:val="16"/>
                <w:lang w:eastAsia="cs-CZ"/>
              </w:rPr>
            </w:pPr>
            <w:r>
              <w:rPr>
                <w:rFonts w:ascii="Arial" w:eastAsia="Times New Roman" w:hAnsi="Arial" w:cs="Arial"/>
                <w:sz w:val="16"/>
                <w:szCs w:val="16"/>
                <w:lang w:eastAsia="cs-CZ"/>
              </w:rPr>
              <w:t> </w:t>
            </w:r>
          </w:p>
        </w:tc>
        <w:tc>
          <w:tcPr>
            <w:tcW w:w="992" w:type="dxa"/>
            <w:noWrap/>
            <w:vAlign w:val="center"/>
            <w:hideMark/>
          </w:tcPr>
          <w:p w:rsidR="002953B4" w:rsidRDefault="002953B4">
            <w:pPr>
              <w:spacing w:after="0" w:line="276" w:lineRule="auto"/>
              <w:rPr>
                <w:sz w:val="22"/>
                <w:szCs w:val="22"/>
              </w:rPr>
            </w:pPr>
          </w:p>
        </w:tc>
        <w:tc>
          <w:tcPr>
            <w:tcW w:w="850" w:type="dxa"/>
            <w:noWrap/>
            <w:vAlign w:val="center"/>
            <w:hideMark/>
          </w:tcPr>
          <w:p w:rsidR="002953B4" w:rsidRDefault="002953B4">
            <w:pPr>
              <w:spacing w:after="0" w:line="276" w:lineRule="auto"/>
              <w:rPr>
                <w:sz w:val="22"/>
                <w:szCs w:val="22"/>
              </w:rPr>
            </w:pPr>
          </w:p>
        </w:tc>
      </w:tr>
      <w:tr w:rsidR="002953B4" w:rsidTr="0080744A">
        <w:trPr>
          <w:trHeight w:val="300"/>
        </w:trPr>
        <w:tc>
          <w:tcPr>
            <w:tcW w:w="567" w:type="dxa"/>
            <w:tcBorders>
              <w:top w:val="nil"/>
              <w:left w:val="single" w:sz="12" w:space="0" w:color="auto"/>
              <w:bottom w:val="nil"/>
              <w:right w:val="nil"/>
            </w:tcBorders>
            <w:noWrap/>
            <w:vAlign w:val="center"/>
            <w:hideMark/>
          </w:tcPr>
          <w:p w:rsidR="002953B4" w:rsidRDefault="002953B4">
            <w:pPr>
              <w:spacing w:after="0" w:line="240" w:lineRule="auto"/>
              <w:ind w:hanging="284"/>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c>
          <w:tcPr>
            <w:tcW w:w="993" w:type="dxa"/>
            <w:noWrap/>
            <w:vAlign w:val="center"/>
            <w:hideMark/>
          </w:tcPr>
          <w:p w:rsidR="002953B4" w:rsidRDefault="002953B4">
            <w:pPr>
              <w:spacing w:after="0" w:line="276" w:lineRule="auto"/>
              <w:rPr>
                <w:sz w:val="22"/>
                <w:szCs w:val="22"/>
              </w:rPr>
            </w:pPr>
          </w:p>
        </w:tc>
        <w:tc>
          <w:tcPr>
            <w:tcW w:w="5103" w:type="dxa"/>
            <w:tcBorders>
              <w:top w:val="nil"/>
              <w:left w:val="single" w:sz="4" w:space="0" w:color="auto"/>
              <w:bottom w:val="single" w:sz="4" w:space="0" w:color="auto"/>
              <w:right w:val="single" w:sz="4" w:space="0" w:color="auto"/>
            </w:tcBorders>
            <w:vAlign w:val="center"/>
            <w:hideMark/>
          </w:tcPr>
          <w:p w:rsidR="002953B4" w:rsidRDefault="002953B4">
            <w:pPr>
              <w:spacing w:after="0" w:line="240" w:lineRule="auto"/>
              <w:rPr>
                <w:rFonts w:ascii="Arial" w:eastAsia="Times New Roman" w:hAnsi="Arial" w:cs="Arial"/>
                <w:i/>
                <w:iCs/>
                <w:sz w:val="16"/>
                <w:szCs w:val="16"/>
                <w:lang w:eastAsia="cs-CZ"/>
              </w:rPr>
            </w:pPr>
            <w:r>
              <w:rPr>
                <w:rFonts w:ascii="Arial" w:eastAsia="Times New Roman" w:hAnsi="Arial" w:cs="Arial"/>
                <w:i/>
                <w:iCs/>
                <w:sz w:val="16"/>
                <w:szCs w:val="16"/>
                <w:lang w:eastAsia="cs-CZ"/>
              </w:rPr>
              <w:t> </w:t>
            </w:r>
          </w:p>
        </w:tc>
        <w:tc>
          <w:tcPr>
            <w:tcW w:w="992" w:type="dxa"/>
            <w:noWrap/>
            <w:vAlign w:val="center"/>
            <w:hideMark/>
          </w:tcPr>
          <w:p w:rsidR="002953B4" w:rsidRDefault="002953B4">
            <w:pPr>
              <w:spacing w:after="0" w:line="276" w:lineRule="auto"/>
              <w:rPr>
                <w:sz w:val="22"/>
                <w:szCs w:val="22"/>
              </w:rPr>
            </w:pPr>
          </w:p>
        </w:tc>
        <w:tc>
          <w:tcPr>
            <w:tcW w:w="850" w:type="dxa"/>
            <w:noWrap/>
            <w:vAlign w:val="center"/>
            <w:hideMark/>
          </w:tcPr>
          <w:p w:rsidR="002953B4" w:rsidRDefault="002953B4">
            <w:pPr>
              <w:spacing w:after="0" w:line="276" w:lineRule="auto"/>
              <w:rPr>
                <w:sz w:val="22"/>
                <w:szCs w:val="22"/>
              </w:rPr>
            </w:pPr>
          </w:p>
        </w:tc>
      </w:tr>
      <w:tr w:rsidR="002953B4" w:rsidTr="0080744A">
        <w:trPr>
          <w:trHeight w:val="315"/>
        </w:trPr>
        <w:tc>
          <w:tcPr>
            <w:tcW w:w="567" w:type="dxa"/>
            <w:tcBorders>
              <w:top w:val="nil"/>
              <w:left w:val="single" w:sz="12" w:space="0" w:color="auto"/>
              <w:bottom w:val="single" w:sz="4" w:space="0" w:color="auto"/>
              <w:right w:val="nil"/>
            </w:tcBorders>
            <w:noWrap/>
            <w:vAlign w:val="center"/>
            <w:hideMark/>
          </w:tcPr>
          <w:p w:rsidR="002953B4" w:rsidRDefault="002953B4">
            <w:pPr>
              <w:spacing w:after="0" w:line="240" w:lineRule="auto"/>
              <w:ind w:hanging="284"/>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c>
          <w:tcPr>
            <w:tcW w:w="993" w:type="dxa"/>
            <w:tcBorders>
              <w:top w:val="nil"/>
              <w:left w:val="nil"/>
              <w:bottom w:val="single" w:sz="4" w:space="0" w:color="auto"/>
              <w:right w:val="nil"/>
            </w:tcBorders>
            <w:noWrap/>
            <w:vAlign w:val="center"/>
            <w:hideMark/>
          </w:tcPr>
          <w:p w:rsidR="002953B4" w:rsidRDefault="002953B4">
            <w:pPr>
              <w:spacing w:after="0" w:line="240" w:lineRule="auto"/>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c>
          <w:tcPr>
            <w:tcW w:w="5103" w:type="dxa"/>
            <w:tcBorders>
              <w:top w:val="nil"/>
              <w:left w:val="single" w:sz="4" w:space="0" w:color="auto"/>
              <w:bottom w:val="single" w:sz="4" w:space="0" w:color="auto"/>
              <w:right w:val="single" w:sz="4" w:space="0" w:color="auto"/>
            </w:tcBorders>
            <w:vAlign w:val="center"/>
            <w:hideMark/>
          </w:tcPr>
          <w:p w:rsidR="002953B4" w:rsidRDefault="002953B4">
            <w:pPr>
              <w:spacing w:after="0" w:line="240" w:lineRule="auto"/>
              <w:rPr>
                <w:rFonts w:ascii="Arial" w:eastAsia="Times New Roman" w:hAnsi="Arial" w:cs="Arial"/>
                <w:sz w:val="16"/>
                <w:szCs w:val="16"/>
                <w:lang w:eastAsia="cs-CZ"/>
              </w:rPr>
            </w:pPr>
            <w:r>
              <w:rPr>
                <w:rFonts w:ascii="Arial" w:eastAsia="Times New Roman" w:hAnsi="Arial" w:cs="Arial"/>
                <w:sz w:val="16"/>
                <w:szCs w:val="16"/>
                <w:lang w:eastAsia="cs-CZ"/>
              </w:rPr>
              <w:t xml:space="preserve">Položka obsahuje dodávku a montáž  ucpávek proti vniknutí vody přes </w:t>
            </w:r>
            <w:proofErr w:type="gramStart"/>
            <w:r>
              <w:rPr>
                <w:rFonts w:ascii="Arial" w:eastAsia="Times New Roman" w:hAnsi="Arial" w:cs="Arial"/>
                <w:sz w:val="16"/>
                <w:szCs w:val="16"/>
                <w:lang w:eastAsia="cs-CZ"/>
              </w:rPr>
              <w:t>prostupu</w:t>
            </w:r>
            <w:proofErr w:type="gramEnd"/>
            <w:r>
              <w:rPr>
                <w:rFonts w:ascii="Arial" w:eastAsia="Times New Roman" w:hAnsi="Arial" w:cs="Arial"/>
                <w:sz w:val="16"/>
                <w:szCs w:val="16"/>
                <w:lang w:eastAsia="cs-CZ"/>
              </w:rPr>
              <w:t xml:space="preserve"> kabelizace zdivem</w:t>
            </w:r>
          </w:p>
        </w:tc>
        <w:tc>
          <w:tcPr>
            <w:tcW w:w="992" w:type="dxa"/>
            <w:tcBorders>
              <w:top w:val="nil"/>
              <w:left w:val="nil"/>
              <w:bottom w:val="single" w:sz="4" w:space="0" w:color="auto"/>
              <w:right w:val="nil"/>
            </w:tcBorders>
            <w:noWrap/>
            <w:vAlign w:val="center"/>
            <w:hideMark/>
          </w:tcPr>
          <w:p w:rsidR="002953B4" w:rsidRDefault="002953B4">
            <w:pPr>
              <w:spacing w:after="0" w:line="240"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c>
          <w:tcPr>
            <w:tcW w:w="850" w:type="dxa"/>
            <w:tcBorders>
              <w:top w:val="nil"/>
              <w:left w:val="nil"/>
              <w:bottom w:val="single" w:sz="4" w:space="0" w:color="auto"/>
              <w:right w:val="nil"/>
            </w:tcBorders>
            <w:noWrap/>
            <w:vAlign w:val="center"/>
            <w:hideMark/>
          </w:tcPr>
          <w:p w:rsidR="002953B4" w:rsidRDefault="002953B4">
            <w:pPr>
              <w:spacing w:after="0" w:line="240"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w:t>
            </w:r>
          </w:p>
        </w:tc>
      </w:tr>
    </w:tbl>
    <w:p w:rsidR="0080744A" w:rsidRDefault="002953B4" w:rsidP="0080744A">
      <w:pPr>
        <w:pStyle w:val="Odstavecseseznamem"/>
        <w:ind w:left="284" w:hanging="284"/>
        <w:jc w:val="both"/>
      </w:pPr>
      <w:r>
        <w:t>Domníváme se, že v dokumentaci tohoto PS není specifikován b</w:t>
      </w:r>
      <w:r w:rsidR="0080744A">
        <w:t xml:space="preserve">ližší popis těchto ucpávek, </w:t>
      </w:r>
    </w:p>
    <w:p w:rsidR="0080744A" w:rsidRDefault="0080744A" w:rsidP="0080744A">
      <w:pPr>
        <w:pStyle w:val="Odstavecseseznamem"/>
        <w:ind w:left="284" w:hanging="284"/>
        <w:jc w:val="both"/>
      </w:pPr>
      <w:r>
        <w:t xml:space="preserve">tj. </w:t>
      </w:r>
      <w:r w:rsidR="002953B4">
        <w:t>typy, velikosti, množství</w:t>
      </w:r>
      <w:r>
        <w:rPr>
          <w:sz w:val="22"/>
          <w:szCs w:val="22"/>
        </w:rPr>
        <w:t xml:space="preserve"> </w:t>
      </w:r>
      <w:r w:rsidR="002953B4">
        <w:t xml:space="preserve">apod. (pro každou položku). Tyto informace jsou nutné pro </w:t>
      </w:r>
      <w:r>
        <w:t>správné</w:t>
      </w:r>
    </w:p>
    <w:p w:rsidR="002953B4" w:rsidRPr="0080744A" w:rsidRDefault="002953B4" w:rsidP="0080744A">
      <w:pPr>
        <w:pStyle w:val="Odstavecseseznamem"/>
        <w:ind w:left="284" w:hanging="284"/>
        <w:jc w:val="both"/>
        <w:rPr>
          <w:sz w:val="22"/>
          <w:szCs w:val="22"/>
        </w:rPr>
      </w:pPr>
      <w:r>
        <w:t>ocenění položek. Žádáme zadavatele o doplnění.</w:t>
      </w:r>
    </w:p>
    <w:p w:rsidR="002953B4" w:rsidRPr="00BD5319" w:rsidRDefault="002953B4" w:rsidP="002953B4">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rsidR="00617639" w:rsidRPr="00617639" w:rsidRDefault="00617639" w:rsidP="00617639">
      <w:pPr>
        <w:spacing w:after="0" w:line="240" w:lineRule="auto"/>
        <w:rPr>
          <w:rFonts w:eastAsia="Times New Roman" w:cs="Times New Roman"/>
          <w:i/>
          <w:lang w:eastAsia="cs-CZ"/>
        </w:rPr>
      </w:pPr>
      <w:r w:rsidRPr="00617639">
        <w:rPr>
          <w:rFonts w:eastAsia="Times New Roman" w:cs="Times New Roman"/>
          <w:i/>
          <w:lang w:eastAsia="cs-CZ"/>
        </w:rPr>
        <w:t>Protipožární ucpávky jsou dostatečně specifikovány počtem a velikostí prostupů kabelizace zdivem, viz výkres č. 0501 „Umístění zařízení ve stavědlové ústředně, pracoviště nouzové obsluhy“, prostorové obsazení prostupů kabely bude řešit realizační dokumentace. Bližší specifikace by již musela odkazovat na konkrétní výrobek.</w:t>
      </w:r>
    </w:p>
    <w:p w:rsidR="00617639" w:rsidRPr="00617639" w:rsidRDefault="00617639" w:rsidP="00617639">
      <w:pPr>
        <w:spacing w:after="0" w:line="240" w:lineRule="auto"/>
        <w:rPr>
          <w:rFonts w:eastAsia="Times New Roman" w:cs="Times New Roman"/>
          <w:i/>
          <w:lang w:eastAsia="cs-CZ"/>
        </w:rPr>
      </w:pPr>
      <w:r w:rsidRPr="00617639">
        <w:rPr>
          <w:rFonts w:eastAsia="Times New Roman" w:cs="Times New Roman"/>
          <w:i/>
          <w:lang w:eastAsia="cs-CZ"/>
        </w:rPr>
        <w:t>Ucpávky proti vodě jsou dostatečně specifikovány velikostí vstupního otvoru pro venkovní kabely a počtem a dimenzí vstupujících kabelů – viz v. č. 1050 „Schéma kabelů“. Bližší specifikace by již musela odkazovat na konkrétní výrobek.</w:t>
      </w:r>
    </w:p>
    <w:p w:rsidR="002953B4" w:rsidRDefault="002953B4" w:rsidP="00BD5319">
      <w:pPr>
        <w:spacing w:after="0" w:line="240" w:lineRule="auto"/>
        <w:rPr>
          <w:rFonts w:eastAsia="Times New Roman" w:cs="Times New Roman"/>
          <w:b/>
          <w:color w:val="FF0000"/>
          <w:lang w:eastAsia="cs-CZ"/>
        </w:rPr>
      </w:pPr>
    </w:p>
    <w:p w:rsidR="002953B4" w:rsidRDefault="002953B4" w:rsidP="00BD5319">
      <w:pPr>
        <w:spacing w:after="0" w:line="240" w:lineRule="auto"/>
        <w:rPr>
          <w:rFonts w:eastAsia="Times New Roman" w:cs="Times New Roman"/>
          <w:b/>
          <w:color w:val="FF0000"/>
          <w:lang w:eastAsia="cs-CZ"/>
        </w:rPr>
      </w:pPr>
    </w:p>
    <w:p w:rsidR="002953B4" w:rsidRPr="00871912" w:rsidRDefault="002953B4" w:rsidP="002953B4">
      <w:pPr>
        <w:spacing w:after="0" w:line="240" w:lineRule="auto"/>
        <w:rPr>
          <w:rFonts w:eastAsia="Calibri" w:cs="Times New Roman"/>
          <w:b/>
          <w:lang w:eastAsia="cs-CZ"/>
        </w:rPr>
      </w:pPr>
      <w:r w:rsidRPr="00871912">
        <w:rPr>
          <w:rFonts w:eastAsia="Calibri" w:cs="Times New Roman"/>
          <w:b/>
          <w:lang w:eastAsia="cs-CZ"/>
        </w:rPr>
        <w:t>Dotaz č. 1</w:t>
      </w:r>
      <w:r>
        <w:rPr>
          <w:rFonts w:eastAsia="Calibri" w:cs="Times New Roman"/>
          <w:b/>
          <w:lang w:eastAsia="cs-CZ"/>
        </w:rPr>
        <w:t>9</w:t>
      </w:r>
      <w:r w:rsidRPr="00871912">
        <w:rPr>
          <w:rFonts w:eastAsia="Calibri" w:cs="Times New Roman"/>
          <w:b/>
          <w:lang w:eastAsia="cs-CZ"/>
        </w:rPr>
        <w:t>:</w:t>
      </w:r>
    </w:p>
    <w:p w:rsidR="0080744A" w:rsidRDefault="0080744A" w:rsidP="0080744A">
      <w:pPr>
        <w:pStyle w:val="Odstavecseseznamem"/>
        <w:spacing w:after="200" w:line="276" w:lineRule="auto"/>
        <w:ind w:left="0"/>
      </w:pPr>
      <w:r>
        <w:t>PS 05-01-11. Ve výkazu výměr se vyskytuje položka č. 6:</w:t>
      </w:r>
    </w:p>
    <w:tbl>
      <w:tblPr>
        <w:tblW w:w="8505" w:type="dxa"/>
        <w:tblInd w:w="70" w:type="dxa"/>
        <w:tblCellMar>
          <w:left w:w="70" w:type="dxa"/>
          <w:right w:w="70" w:type="dxa"/>
        </w:tblCellMar>
        <w:tblLook w:val="04A0" w:firstRow="1" w:lastRow="0" w:firstColumn="1" w:lastColumn="0" w:noHBand="0" w:noVBand="1"/>
      </w:tblPr>
      <w:tblGrid>
        <w:gridCol w:w="800"/>
        <w:gridCol w:w="1120"/>
        <w:gridCol w:w="4677"/>
        <w:gridCol w:w="940"/>
        <w:gridCol w:w="968"/>
      </w:tblGrid>
      <w:tr w:rsidR="0080744A" w:rsidTr="0080744A">
        <w:trPr>
          <w:trHeight w:val="315"/>
        </w:trPr>
        <w:tc>
          <w:tcPr>
            <w:tcW w:w="800" w:type="dxa"/>
            <w:tcBorders>
              <w:top w:val="single" w:sz="8" w:space="0" w:color="auto"/>
              <w:left w:val="single" w:sz="12" w:space="0" w:color="auto"/>
              <w:bottom w:val="single" w:sz="8" w:space="0" w:color="auto"/>
              <w:right w:val="single" w:sz="4" w:space="0" w:color="auto"/>
            </w:tcBorders>
            <w:shd w:val="clear" w:color="auto" w:fill="FFFFFF"/>
            <w:noWrap/>
            <w:vAlign w:val="center"/>
            <w:hideMark/>
          </w:tcPr>
          <w:p w:rsidR="0080744A" w:rsidRDefault="0080744A">
            <w:pPr>
              <w:spacing w:after="200" w:line="276"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6</w:t>
            </w:r>
          </w:p>
        </w:tc>
        <w:tc>
          <w:tcPr>
            <w:tcW w:w="1120" w:type="dxa"/>
            <w:tcBorders>
              <w:top w:val="single" w:sz="8" w:space="0" w:color="auto"/>
              <w:left w:val="nil"/>
              <w:bottom w:val="single" w:sz="8" w:space="0" w:color="auto"/>
              <w:right w:val="single" w:sz="4" w:space="0" w:color="auto"/>
            </w:tcBorders>
            <w:noWrap/>
            <w:vAlign w:val="center"/>
            <w:hideMark/>
          </w:tcPr>
          <w:p w:rsidR="0080744A" w:rsidRDefault="0080744A">
            <w:pPr>
              <w:spacing w:after="200" w:line="276" w:lineRule="auto"/>
              <w:ind w:hanging="19"/>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R1-položka</w:t>
            </w:r>
          </w:p>
        </w:tc>
        <w:tc>
          <w:tcPr>
            <w:tcW w:w="4677" w:type="dxa"/>
            <w:tcBorders>
              <w:top w:val="single" w:sz="8" w:space="0" w:color="auto"/>
              <w:left w:val="nil"/>
              <w:bottom w:val="single" w:sz="8" w:space="0" w:color="auto"/>
              <w:right w:val="single" w:sz="4" w:space="0" w:color="auto"/>
            </w:tcBorders>
            <w:vAlign w:val="center"/>
            <w:hideMark/>
          </w:tcPr>
          <w:p w:rsidR="0080744A" w:rsidRDefault="0080744A">
            <w:pPr>
              <w:spacing w:after="200" w:line="276" w:lineRule="auto"/>
              <w:rPr>
                <w:rFonts w:ascii="Arial" w:eastAsia="Times New Roman" w:hAnsi="Arial" w:cs="Arial"/>
                <w:sz w:val="16"/>
                <w:szCs w:val="16"/>
                <w:lang w:eastAsia="cs-CZ"/>
              </w:rPr>
            </w:pPr>
            <w:r>
              <w:rPr>
                <w:rFonts w:ascii="Arial" w:eastAsia="Times New Roman" w:hAnsi="Arial" w:cs="Arial"/>
                <w:sz w:val="16"/>
                <w:szCs w:val="16"/>
                <w:lang w:eastAsia="cs-CZ"/>
              </w:rPr>
              <w:t>KOMPLETNÍ REALIZACE IZOL. STYKU (LIS)</w:t>
            </w:r>
          </w:p>
        </w:tc>
        <w:tc>
          <w:tcPr>
            <w:tcW w:w="940" w:type="dxa"/>
            <w:tcBorders>
              <w:top w:val="single" w:sz="8" w:space="0" w:color="auto"/>
              <w:left w:val="nil"/>
              <w:bottom w:val="single" w:sz="8" w:space="0" w:color="auto"/>
              <w:right w:val="single" w:sz="4" w:space="0" w:color="auto"/>
            </w:tcBorders>
            <w:noWrap/>
            <w:vAlign w:val="center"/>
            <w:hideMark/>
          </w:tcPr>
          <w:p w:rsidR="0080744A" w:rsidRDefault="0080744A">
            <w:pPr>
              <w:spacing w:after="200" w:line="276"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KUS</w:t>
            </w:r>
          </w:p>
        </w:tc>
        <w:tc>
          <w:tcPr>
            <w:tcW w:w="968" w:type="dxa"/>
            <w:tcBorders>
              <w:top w:val="single" w:sz="8" w:space="0" w:color="auto"/>
              <w:left w:val="nil"/>
              <w:bottom w:val="single" w:sz="8" w:space="0" w:color="auto"/>
              <w:right w:val="single" w:sz="4" w:space="0" w:color="auto"/>
            </w:tcBorders>
            <w:noWrap/>
            <w:vAlign w:val="center"/>
            <w:hideMark/>
          </w:tcPr>
          <w:p w:rsidR="0080744A" w:rsidRDefault="0080744A">
            <w:pPr>
              <w:spacing w:after="200" w:line="276" w:lineRule="auto"/>
              <w:ind w:hanging="284"/>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12,000</w:t>
            </w:r>
          </w:p>
        </w:tc>
      </w:tr>
    </w:tbl>
    <w:p w:rsidR="0080744A" w:rsidRDefault="0080744A" w:rsidP="0080744A">
      <w:pPr>
        <w:pStyle w:val="Odstavecseseznamem"/>
        <w:ind w:left="0"/>
      </w:pPr>
      <w:r>
        <w:t xml:space="preserve">K této položce jsme v ZD tohoto PS nenalezli žádné konkrétní informace. Žádáme zadavatele </w:t>
      </w:r>
    </w:p>
    <w:p w:rsidR="002953B4" w:rsidRPr="0080744A" w:rsidRDefault="0080744A" w:rsidP="0080744A">
      <w:pPr>
        <w:pStyle w:val="Odstavecseseznamem"/>
        <w:ind w:left="0"/>
        <w:rPr>
          <w:sz w:val="22"/>
          <w:szCs w:val="22"/>
        </w:rPr>
      </w:pPr>
      <w:r>
        <w:t>o vyspecifikování podrobností a o případné zaslání výkresů k této položce.</w:t>
      </w:r>
    </w:p>
    <w:p w:rsidR="002953B4" w:rsidRPr="00BD5319" w:rsidRDefault="002953B4" w:rsidP="002953B4">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rsidR="00617639" w:rsidRPr="00617639" w:rsidRDefault="00617639" w:rsidP="00617639">
      <w:pPr>
        <w:spacing w:after="0" w:line="240" w:lineRule="auto"/>
        <w:rPr>
          <w:rFonts w:eastAsia="Times New Roman" w:cs="Times New Roman"/>
          <w:i/>
          <w:lang w:eastAsia="cs-CZ"/>
        </w:rPr>
      </w:pPr>
      <w:r w:rsidRPr="00617639">
        <w:rPr>
          <w:rFonts w:eastAsia="Times New Roman" w:cs="Times New Roman"/>
          <w:i/>
          <w:lang w:eastAsia="cs-CZ"/>
        </w:rPr>
        <w:t>Položka R1 byla rozepsána do položek OTSKP.</w:t>
      </w:r>
    </w:p>
    <w:p w:rsidR="00617639" w:rsidRPr="00617639" w:rsidRDefault="00617639" w:rsidP="00617639">
      <w:pPr>
        <w:spacing w:after="0" w:line="240" w:lineRule="auto"/>
        <w:rPr>
          <w:rFonts w:eastAsia="Times New Roman" w:cs="Times New Roman"/>
          <w:bCs/>
          <w:i/>
          <w:iCs/>
          <w:lang w:eastAsia="cs-CZ"/>
        </w:rPr>
      </w:pPr>
      <w:r w:rsidRPr="00617639">
        <w:rPr>
          <w:rFonts w:eastAsia="Times New Roman" w:cs="Times New Roman"/>
          <w:bCs/>
          <w:i/>
          <w:iCs/>
          <w:lang w:eastAsia="cs-CZ"/>
        </w:rPr>
        <w:t>Upraven dokument PS050111_upr01.xlsm</w:t>
      </w:r>
    </w:p>
    <w:p w:rsidR="002953B4" w:rsidRPr="00617639" w:rsidRDefault="002953B4" w:rsidP="00BD5319">
      <w:pPr>
        <w:spacing w:after="0" w:line="240" w:lineRule="auto"/>
        <w:rPr>
          <w:rFonts w:eastAsia="Times New Roman" w:cs="Times New Roman"/>
          <w:b/>
          <w:i/>
          <w:color w:val="FF0000"/>
          <w:lang w:eastAsia="cs-CZ"/>
        </w:rPr>
      </w:pPr>
    </w:p>
    <w:p w:rsidR="002953B4" w:rsidRDefault="002953B4" w:rsidP="00BD5319">
      <w:pPr>
        <w:spacing w:after="0" w:line="240" w:lineRule="auto"/>
        <w:rPr>
          <w:rFonts w:eastAsia="Times New Roman" w:cs="Times New Roman"/>
          <w:b/>
          <w:color w:val="FF0000"/>
          <w:lang w:eastAsia="cs-CZ"/>
        </w:rPr>
      </w:pPr>
    </w:p>
    <w:p w:rsidR="002953B4" w:rsidRPr="00871912" w:rsidRDefault="002953B4" w:rsidP="002953B4">
      <w:pPr>
        <w:spacing w:after="0" w:line="240" w:lineRule="auto"/>
        <w:rPr>
          <w:rFonts w:eastAsia="Calibri" w:cs="Times New Roman"/>
          <w:b/>
          <w:lang w:eastAsia="cs-CZ"/>
        </w:rPr>
      </w:pPr>
      <w:r w:rsidRPr="00871912">
        <w:rPr>
          <w:rFonts w:eastAsia="Calibri" w:cs="Times New Roman"/>
          <w:b/>
          <w:lang w:eastAsia="cs-CZ"/>
        </w:rPr>
        <w:t xml:space="preserve">Dotaz č. </w:t>
      </w:r>
      <w:r>
        <w:rPr>
          <w:rFonts w:eastAsia="Calibri" w:cs="Times New Roman"/>
          <w:b/>
          <w:lang w:eastAsia="cs-CZ"/>
        </w:rPr>
        <w:t>20</w:t>
      </w:r>
      <w:r w:rsidRPr="00871912">
        <w:rPr>
          <w:rFonts w:eastAsia="Calibri" w:cs="Times New Roman"/>
          <w:b/>
          <w:lang w:eastAsia="cs-CZ"/>
        </w:rPr>
        <w:t>:</w:t>
      </w:r>
    </w:p>
    <w:p w:rsidR="0080744A" w:rsidRDefault="0080744A" w:rsidP="0080744A">
      <w:pPr>
        <w:pStyle w:val="Odstavecseseznamem"/>
        <w:spacing w:after="200" w:line="276" w:lineRule="auto"/>
        <w:ind w:left="0"/>
      </w:pPr>
      <w:r>
        <w:t xml:space="preserve">V rámci PS 06-01-21 dochází k úpravám venkovních a vnitřních prvků/zařízení vztahujících se k </w:t>
      </w:r>
      <w:proofErr w:type="spellStart"/>
      <w:r>
        <w:t>zab</w:t>
      </w:r>
      <w:proofErr w:type="spellEnd"/>
      <w:r>
        <w:t xml:space="preserve">. </w:t>
      </w:r>
      <w:proofErr w:type="gramStart"/>
      <w:r>
        <w:t>zař</w:t>
      </w:r>
      <w:proofErr w:type="gramEnd"/>
      <w:r>
        <w:t xml:space="preserve">. v </w:t>
      </w:r>
      <w:proofErr w:type="spellStart"/>
      <w:r>
        <w:t>žst</w:t>
      </w:r>
      <w:proofErr w:type="spellEnd"/>
      <w:r>
        <w:t xml:space="preserve">. Choceň. Ve výkazu výměr postrádáme položku pro vypracování dokumentace „VYPRACOVÁNÍ RDS“, reflektující zmíněné úpravy. Žádáme zadavatele o doplnění položky </w:t>
      </w:r>
    </w:p>
    <w:p w:rsidR="002953B4" w:rsidRPr="0080744A" w:rsidRDefault="0080744A" w:rsidP="0080744A">
      <w:pPr>
        <w:pStyle w:val="Odstavecseseznamem"/>
        <w:spacing w:after="200" w:line="276" w:lineRule="auto"/>
        <w:ind w:left="0"/>
      </w:pPr>
      <w:r>
        <w:t>do výkazu výměr.</w:t>
      </w:r>
    </w:p>
    <w:p w:rsidR="002953B4" w:rsidRPr="00BD5319" w:rsidRDefault="002953B4" w:rsidP="002953B4">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rsidR="00617639" w:rsidRPr="00617639" w:rsidRDefault="00617639" w:rsidP="00617639">
      <w:pPr>
        <w:spacing w:after="0" w:line="240" w:lineRule="auto"/>
        <w:rPr>
          <w:rFonts w:eastAsia="Times New Roman" w:cs="Times New Roman"/>
          <w:i/>
          <w:lang w:eastAsia="cs-CZ"/>
        </w:rPr>
      </w:pPr>
      <w:r w:rsidRPr="00617639">
        <w:rPr>
          <w:rFonts w:eastAsia="Times New Roman" w:cs="Times New Roman"/>
          <w:i/>
          <w:lang w:eastAsia="cs-CZ"/>
        </w:rPr>
        <w:t>Pro vypracování RDS byla doplněna položka č. 34.</w:t>
      </w:r>
    </w:p>
    <w:p w:rsidR="00617639" w:rsidRPr="00617639" w:rsidRDefault="00617639" w:rsidP="00617639">
      <w:pPr>
        <w:spacing w:after="0" w:line="240" w:lineRule="auto"/>
        <w:rPr>
          <w:rFonts w:eastAsia="Times New Roman" w:cs="Times New Roman"/>
          <w:bCs/>
          <w:i/>
          <w:iCs/>
          <w:lang w:eastAsia="cs-CZ"/>
        </w:rPr>
      </w:pPr>
      <w:r w:rsidRPr="00617639">
        <w:rPr>
          <w:rFonts w:eastAsia="Times New Roman" w:cs="Times New Roman"/>
          <w:bCs/>
          <w:i/>
          <w:iCs/>
          <w:lang w:eastAsia="cs-CZ"/>
        </w:rPr>
        <w:t>Upraven dokument PS060121_upr01.xlsm</w:t>
      </w:r>
    </w:p>
    <w:p w:rsidR="002953B4" w:rsidRDefault="002953B4" w:rsidP="00BD5319">
      <w:pPr>
        <w:spacing w:after="0" w:line="240" w:lineRule="auto"/>
        <w:rPr>
          <w:rFonts w:eastAsia="Times New Roman" w:cs="Times New Roman"/>
          <w:b/>
          <w:color w:val="FF0000"/>
          <w:lang w:eastAsia="cs-CZ"/>
        </w:rPr>
      </w:pPr>
    </w:p>
    <w:p w:rsidR="002953B4" w:rsidRDefault="002953B4" w:rsidP="00BD5319">
      <w:pPr>
        <w:spacing w:after="0" w:line="240" w:lineRule="auto"/>
        <w:rPr>
          <w:rFonts w:eastAsia="Times New Roman" w:cs="Times New Roman"/>
          <w:b/>
          <w:color w:val="FF0000"/>
          <w:lang w:eastAsia="cs-CZ"/>
        </w:rPr>
      </w:pPr>
    </w:p>
    <w:p w:rsidR="002953B4" w:rsidRPr="00871912" w:rsidRDefault="002953B4" w:rsidP="002953B4">
      <w:pPr>
        <w:spacing w:after="0" w:line="240" w:lineRule="auto"/>
        <w:rPr>
          <w:rFonts w:eastAsia="Calibri" w:cs="Times New Roman"/>
          <w:b/>
          <w:lang w:eastAsia="cs-CZ"/>
        </w:rPr>
      </w:pPr>
      <w:r w:rsidRPr="00871912">
        <w:rPr>
          <w:rFonts w:eastAsia="Calibri" w:cs="Times New Roman"/>
          <w:b/>
          <w:lang w:eastAsia="cs-CZ"/>
        </w:rPr>
        <w:t xml:space="preserve">Dotaz č. </w:t>
      </w:r>
      <w:r>
        <w:rPr>
          <w:rFonts w:eastAsia="Calibri" w:cs="Times New Roman"/>
          <w:b/>
          <w:lang w:eastAsia="cs-CZ"/>
        </w:rPr>
        <w:t>21</w:t>
      </w:r>
      <w:r w:rsidRPr="00871912">
        <w:rPr>
          <w:rFonts w:eastAsia="Calibri" w:cs="Times New Roman"/>
          <w:b/>
          <w:lang w:eastAsia="cs-CZ"/>
        </w:rPr>
        <w:t>:</w:t>
      </w:r>
    </w:p>
    <w:p w:rsidR="002953B4" w:rsidRPr="00926D5E" w:rsidRDefault="00926D5E" w:rsidP="00926D5E">
      <w:pPr>
        <w:spacing w:after="160" w:line="256" w:lineRule="auto"/>
        <w:jc w:val="both"/>
      </w:pPr>
      <w:r>
        <w:t>V objektech SO 02-20-01, 02-20-02, 03-20-01, 03-20-01, 04-20-02, 04-20-05, 04-21-01, 05-20-01, 05-20-03, 05-20-03, 05-20-03, 05-20-04, 05-20-04, 05-20-04, 05-20-05 jsme v soupisech prací nenašli položka pro KARI sítě tvrdé ochrany izolace. Doplní zadavatel výkazy výměr těchto objektů?</w:t>
      </w:r>
    </w:p>
    <w:p w:rsidR="002953B4" w:rsidRPr="00BD5319" w:rsidRDefault="002953B4" w:rsidP="002953B4">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rsidR="00617639" w:rsidRPr="00617639" w:rsidRDefault="00617639" w:rsidP="00617639">
      <w:pPr>
        <w:spacing w:after="0" w:line="240" w:lineRule="auto"/>
        <w:rPr>
          <w:rFonts w:eastAsia="Times New Roman" w:cs="Times New Roman"/>
          <w:i/>
          <w:lang w:eastAsia="cs-CZ"/>
        </w:rPr>
      </w:pPr>
      <w:r w:rsidRPr="00617639">
        <w:rPr>
          <w:rFonts w:eastAsia="Times New Roman" w:cs="Times New Roman"/>
          <w:i/>
          <w:lang w:eastAsia="cs-CZ"/>
        </w:rPr>
        <w:t>Ve specifikaci položky č. 71150 se píše – „dodání předepsaného ochranného materiálu“, který je blíže specifikován v části dokumentace jednotlivých SO pod názvem „Dokumentace vodotěsných izolací“. Soupisy prací beze změny.</w:t>
      </w:r>
    </w:p>
    <w:p w:rsidR="002953B4" w:rsidRDefault="002953B4" w:rsidP="00BD5319">
      <w:pPr>
        <w:spacing w:after="0" w:line="240" w:lineRule="auto"/>
        <w:rPr>
          <w:rFonts w:eastAsia="Times New Roman" w:cs="Times New Roman"/>
          <w:b/>
          <w:color w:val="FF0000"/>
          <w:lang w:eastAsia="cs-CZ"/>
        </w:rPr>
      </w:pPr>
    </w:p>
    <w:p w:rsidR="00926D5E" w:rsidRDefault="00926D5E" w:rsidP="002953B4">
      <w:pPr>
        <w:spacing w:after="0" w:line="240" w:lineRule="auto"/>
        <w:rPr>
          <w:rFonts w:eastAsia="Calibri" w:cs="Times New Roman"/>
          <w:b/>
          <w:lang w:eastAsia="cs-CZ"/>
        </w:rPr>
      </w:pPr>
    </w:p>
    <w:p w:rsidR="002953B4" w:rsidRPr="00871912" w:rsidRDefault="002953B4" w:rsidP="002953B4">
      <w:pPr>
        <w:spacing w:after="0" w:line="240" w:lineRule="auto"/>
        <w:rPr>
          <w:rFonts w:eastAsia="Calibri" w:cs="Times New Roman"/>
          <w:b/>
          <w:lang w:eastAsia="cs-CZ"/>
        </w:rPr>
      </w:pPr>
      <w:r w:rsidRPr="00871912">
        <w:rPr>
          <w:rFonts w:eastAsia="Calibri" w:cs="Times New Roman"/>
          <w:b/>
          <w:lang w:eastAsia="cs-CZ"/>
        </w:rPr>
        <w:t xml:space="preserve">Dotaz č. </w:t>
      </w:r>
      <w:r>
        <w:rPr>
          <w:rFonts w:eastAsia="Calibri" w:cs="Times New Roman"/>
          <w:b/>
          <w:lang w:eastAsia="cs-CZ"/>
        </w:rPr>
        <w:t>22</w:t>
      </w:r>
      <w:r w:rsidRPr="00871912">
        <w:rPr>
          <w:rFonts w:eastAsia="Calibri" w:cs="Times New Roman"/>
          <w:b/>
          <w:lang w:eastAsia="cs-CZ"/>
        </w:rPr>
        <w:t>:</w:t>
      </w:r>
    </w:p>
    <w:p w:rsidR="00926D5E" w:rsidRDefault="00926D5E" w:rsidP="00926D5E">
      <w:pPr>
        <w:spacing w:after="160" w:line="256" w:lineRule="auto"/>
        <w:jc w:val="both"/>
      </w:pPr>
      <w:r>
        <w:t xml:space="preserve">SO 04-21-01, pol. č. 37 – ochrana izolace na povrchu nemá v soupisu prací uvedený výpočet množství. Vzhledem k tomu, že podle dokumentace budou na konstrukci použité tři typy ochrany izolace, předpokládáme, že se jedná o celkový součet. Pro řádné </w:t>
      </w:r>
      <w:proofErr w:type="spellStart"/>
      <w:r>
        <w:t>nacenění</w:t>
      </w:r>
      <w:proofErr w:type="spellEnd"/>
      <w:r>
        <w:t xml:space="preserve"> potřebujeme množství jednotlivých typů ochran. Může zadavatel doplnit soupis prací o výpočet množství jednotlivých typů použitých ochran izolace?</w:t>
      </w:r>
    </w:p>
    <w:p w:rsidR="0065236A" w:rsidRDefault="0065236A" w:rsidP="00926D5E">
      <w:pPr>
        <w:spacing w:after="160" w:line="256" w:lineRule="auto"/>
        <w:jc w:val="both"/>
      </w:pPr>
    </w:p>
    <w:p w:rsidR="002953B4" w:rsidRPr="00BD5319" w:rsidRDefault="002953B4" w:rsidP="002953B4">
      <w:pPr>
        <w:spacing w:after="0" w:line="240" w:lineRule="auto"/>
        <w:rPr>
          <w:rFonts w:eastAsia="Calibri" w:cs="Times New Roman"/>
          <w:b/>
          <w:color w:val="FF0000"/>
          <w:lang w:eastAsia="cs-CZ"/>
        </w:rPr>
      </w:pPr>
      <w:r w:rsidRPr="00BD5319">
        <w:rPr>
          <w:rFonts w:eastAsia="Calibri" w:cs="Times New Roman"/>
          <w:b/>
          <w:lang w:eastAsia="cs-CZ"/>
        </w:rPr>
        <w:lastRenderedPageBreak/>
        <w:t xml:space="preserve">Odpověď: </w:t>
      </w:r>
    </w:p>
    <w:p w:rsidR="00617639" w:rsidRPr="00617639" w:rsidRDefault="00617639" w:rsidP="00617639">
      <w:pPr>
        <w:spacing w:after="0" w:line="240" w:lineRule="auto"/>
        <w:rPr>
          <w:rFonts w:eastAsia="Times New Roman" w:cs="Times New Roman"/>
          <w:bCs/>
          <w:i/>
          <w:lang w:eastAsia="cs-CZ"/>
        </w:rPr>
      </w:pPr>
      <w:r w:rsidRPr="00617639">
        <w:rPr>
          <w:rFonts w:eastAsia="Times New Roman" w:cs="Times New Roman"/>
          <w:bCs/>
          <w:i/>
          <w:lang w:eastAsia="cs-CZ"/>
        </w:rPr>
        <w:t xml:space="preserve">V soupisu prací byla původní položka </w:t>
      </w:r>
      <w:proofErr w:type="gramStart"/>
      <w:r w:rsidRPr="00617639">
        <w:rPr>
          <w:rFonts w:eastAsia="Times New Roman" w:cs="Times New Roman"/>
          <w:bCs/>
          <w:i/>
          <w:lang w:eastAsia="cs-CZ"/>
        </w:rPr>
        <w:t>č.37</w:t>
      </w:r>
      <w:proofErr w:type="gramEnd"/>
      <w:r w:rsidRPr="00617639">
        <w:rPr>
          <w:rFonts w:eastAsia="Times New Roman" w:cs="Times New Roman"/>
          <w:bCs/>
          <w:i/>
          <w:lang w:eastAsia="cs-CZ"/>
        </w:rPr>
        <w:t xml:space="preserve"> dodatečně rozdělena do variant dle typu použité ochrany izolace s doplněným výpočtem množství. Dále byl upraven výpočet množství u položky </w:t>
      </w:r>
      <w:proofErr w:type="gramStart"/>
      <w:r w:rsidRPr="00617639">
        <w:rPr>
          <w:rFonts w:eastAsia="Times New Roman" w:cs="Times New Roman"/>
          <w:bCs/>
          <w:i/>
          <w:lang w:eastAsia="cs-CZ"/>
        </w:rPr>
        <w:t>č.36</w:t>
      </w:r>
      <w:proofErr w:type="gramEnd"/>
      <w:r w:rsidRPr="00617639">
        <w:rPr>
          <w:rFonts w:eastAsia="Times New Roman" w:cs="Times New Roman"/>
          <w:bCs/>
          <w:i/>
          <w:lang w:eastAsia="cs-CZ"/>
        </w:rPr>
        <w:t xml:space="preserve"> dle jednotlivých typů izolačního souvrství. Celkové množství nebylo změněno.</w:t>
      </w:r>
    </w:p>
    <w:p w:rsidR="00617639" w:rsidRPr="00617639" w:rsidRDefault="00617639" w:rsidP="00617639">
      <w:pPr>
        <w:spacing w:after="0" w:line="240" w:lineRule="auto"/>
        <w:rPr>
          <w:rFonts w:eastAsia="Times New Roman" w:cs="Times New Roman"/>
          <w:bCs/>
          <w:i/>
          <w:iCs/>
          <w:lang w:eastAsia="cs-CZ"/>
        </w:rPr>
      </w:pPr>
      <w:r w:rsidRPr="00617639">
        <w:rPr>
          <w:rFonts w:eastAsia="Times New Roman" w:cs="Times New Roman"/>
          <w:bCs/>
          <w:i/>
          <w:iCs/>
          <w:lang w:eastAsia="cs-CZ"/>
        </w:rPr>
        <w:t>Upraven dokument SO042101_upr01.xlsm.</w:t>
      </w:r>
    </w:p>
    <w:p w:rsidR="002953B4" w:rsidRDefault="002953B4" w:rsidP="00BD5319">
      <w:pPr>
        <w:spacing w:after="0" w:line="240" w:lineRule="auto"/>
        <w:rPr>
          <w:rFonts w:eastAsia="Times New Roman" w:cs="Times New Roman"/>
          <w:b/>
          <w:color w:val="FF0000"/>
          <w:lang w:eastAsia="cs-CZ"/>
        </w:rPr>
      </w:pPr>
    </w:p>
    <w:p w:rsidR="002953B4" w:rsidRDefault="002953B4" w:rsidP="00BD5319">
      <w:pPr>
        <w:spacing w:after="0" w:line="240" w:lineRule="auto"/>
        <w:rPr>
          <w:rFonts w:eastAsia="Times New Roman" w:cs="Times New Roman"/>
          <w:b/>
          <w:color w:val="FF0000"/>
          <w:lang w:eastAsia="cs-CZ"/>
        </w:rPr>
      </w:pPr>
    </w:p>
    <w:p w:rsidR="002953B4" w:rsidRPr="00871912" w:rsidRDefault="002953B4" w:rsidP="002953B4">
      <w:pPr>
        <w:spacing w:after="0" w:line="240" w:lineRule="auto"/>
        <w:rPr>
          <w:rFonts w:eastAsia="Calibri" w:cs="Times New Roman"/>
          <w:b/>
          <w:lang w:eastAsia="cs-CZ"/>
        </w:rPr>
      </w:pPr>
      <w:r w:rsidRPr="00871912">
        <w:rPr>
          <w:rFonts w:eastAsia="Calibri" w:cs="Times New Roman"/>
          <w:b/>
          <w:lang w:eastAsia="cs-CZ"/>
        </w:rPr>
        <w:t xml:space="preserve">Dotaz č. </w:t>
      </w:r>
      <w:r>
        <w:rPr>
          <w:rFonts w:eastAsia="Calibri" w:cs="Times New Roman"/>
          <w:b/>
          <w:lang w:eastAsia="cs-CZ"/>
        </w:rPr>
        <w:t>23</w:t>
      </w:r>
      <w:r w:rsidRPr="00871912">
        <w:rPr>
          <w:rFonts w:eastAsia="Calibri" w:cs="Times New Roman"/>
          <w:b/>
          <w:lang w:eastAsia="cs-CZ"/>
        </w:rPr>
        <w:t>:</w:t>
      </w:r>
    </w:p>
    <w:p w:rsidR="00926D5E" w:rsidRDefault="00926D5E" w:rsidP="00926D5E">
      <w:pPr>
        <w:spacing w:after="160" w:line="256" w:lineRule="auto"/>
        <w:jc w:val="both"/>
      </w:pPr>
      <w:r>
        <w:t xml:space="preserve">V SO 04-20-02, 04-21-01, 05-20-01 a 05-20-05 je ochrana izolace uvedena v jedné položce, bez rozdělení na tvrdou a měkkou ochranu. Může zadavatel sjednotit zadávací dokumentaci a opravit výše uvedené soupisy prací tak, že rozdělí položku pro ochranu izolace, jako je to např. u SO 05-20-03? </w:t>
      </w:r>
    </w:p>
    <w:p w:rsidR="002953B4" w:rsidRPr="00BD5319" w:rsidRDefault="002953B4" w:rsidP="002953B4">
      <w:pPr>
        <w:spacing w:after="0" w:line="240" w:lineRule="auto"/>
        <w:rPr>
          <w:rFonts w:eastAsia="Calibri" w:cs="Times New Roman"/>
          <w:b/>
          <w:lang w:eastAsia="cs-CZ"/>
        </w:rPr>
      </w:pPr>
    </w:p>
    <w:p w:rsidR="002953B4" w:rsidRPr="00BD5319" w:rsidRDefault="002953B4" w:rsidP="002953B4">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rsidR="00617639" w:rsidRPr="00617639" w:rsidRDefault="00617639" w:rsidP="00617639">
      <w:pPr>
        <w:spacing w:after="0" w:line="240" w:lineRule="auto"/>
        <w:rPr>
          <w:rFonts w:eastAsia="Times New Roman" w:cs="Times New Roman"/>
          <w:i/>
          <w:lang w:eastAsia="cs-CZ"/>
        </w:rPr>
      </w:pPr>
      <w:r w:rsidRPr="00617639">
        <w:rPr>
          <w:rFonts w:eastAsia="Times New Roman" w:cs="Times New Roman"/>
          <w:i/>
          <w:lang w:eastAsia="cs-CZ"/>
        </w:rPr>
        <w:t xml:space="preserve">Soupisy prací byly upraveny – položka </w:t>
      </w:r>
      <w:proofErr w:type="gramStart"/>
      <w:r w:rsidRPr="00617639">
        <w:rPr>
          <w:rFonts w:eastAsia="Times New Roman" w:cs="Times New Roman"/>
          <w:i/>
          <w:lang w:eastAsia="cs-CZ"/>
        </w:rPr>
        <w:t>č.71150</w:t>
      </w:r>
      <w:proofErr w:type="gramEnd"/>
      <w:r w:rsidRPr="00617639">
        <w:rPr>
          <w:rFonts w:eastAsia="Times New Roman" w:cs="Times New Roman"/>
          <w:i/>
          <w:lang w:eastAsia="cs-CZ"/>
        </w:rPr>
        <w:t xml:space="preserve"> byla rozdělena obdobně, jako je tomu u SO 05-20-03 do variant dle typů ochrany.</w:t>
      </w:r>
    </w:p>
    <w:p w:rsidR="00617639" w:rsidRPr="00617639" w:rsidRDefault="00617639" w:rsidP="00617639">
      <w:pPr>
        <w:spacing w:after="0" w:line="240" w:lineRule="auto"/>
        <w:rPr>
          <w:rFonts w:eastAsia="Times New Roman" w:cs="Times New Roman"/>
          <w:i/>
          <w:lang w:eastAsia="cs-CZ"/>
        </w:rPr>
      </w:pPr>
    </w:p>
    <w:p w:rsidR="00617639" w:rsidRPr="00617639" w:rsidRDefault="00617639" w:rsidP="00617639">
      <w:pPr>
        <w:spacing w:after="0" w:line="240" w:lineRule="auto"/>
        <w:rPr>
          <w:rFonts w:eastAsia="Times New Roman" w:cs="Times New Roman"/>
          <w:i/>
          <w:lang w:eastAsia="cs-CZ"/>
        </w:rPr>
      </w:pPr>
      <w:r w:rsidRPr="00617639">
        <w:rPr>
          <w:rFonts w:eastAsia="Times New Roman" w:cs="Times New Roman"/>
          <w:i/>
          <w:lang w:eastAsia="cs-CZ"/>
        </w:rPr>
        <w:t>SO 04-21-01</w:t>
      </w:r>
    </w:p>
    <w:p w:rsidR="00617639" w:rsidRPr="00617639" w:rsidRDefault="00617639" w:rsidP="00617639">
      <w:pPr>
        <w:pStyle w:val="Odstavecseseznamem"/>
        <w:numPr>
          <w:ilvl w:val="0"/>
          <w:numId w:val="10"/>
        </w:numPr>
        <w:spacing w:after="0" w:line="240" w:lineRule="auto"/>
        <w:rPr>
          <w:rFonts w:eastAsia="Times New Roman" w:cs="Times New Roman"/>
          <w:i/>
          <w:lang w:eastAsia="cs-CZ"/>
        </w:rPr>
      </w:pPr>
      <w:r w:rsidRPr="00617639">
        <w:rPr>
          <w:rFonts w:eastAsia="Times New Roman" w:cs="Times New Roman"/>
          <w:i/>
          <w:lang w:eastAsia="cs-CZ"/>
        </w:rPr>
        <w:t xml:space="preserve">položka </w:t>
      </w:r>
      <w:proofErr w:type="gramStart"/>
      <w:r w:rsidRPr="00617639">
        <w:rPr>
          <w:rFonts w:eastAsia="Times New Roman" w:cs="Times New Roman"/>
          <w:i/>
          <w:lang w:eastAsia="cs-CZ"/>
        </w:rPr>
        <w:t>č.37</w:t>
      </w:r>
      <w:proofErr w:type="gramEnd"/>
      <w:r w:rsidRPr="00617639">
        <w:rPr>
          <w:rFonts w:eastAsia="Times New Roman" w:cs="Times New Roman"/>
          <w:i/>
          <w:lang w:eastAsia="cs-CZ"/>
        </w:rPr>
        <w:t xml:space="preserve"> (upraveno množství a číslo varianty)</w:t>
      </w:r>
    </w:p>
    <w:p w:rsidR="00617639" w:rsidRPr="00617639" w:rsidRDefault="00617639" w:rsidP="00617639">
      <w:pPr>
        <w:pStyle w:val="Odstavecseseznamem"/>
        <w:numPr>
          <w:ilvl w:val="0"/>
          <w:numId w:val="10"/>
        </w:numPr>
        <w:spacing w:after="0" w:line="240" w:lineRule="auto"/>
        <w:rPr>
          <w:rFonts w:eastAsia="Times New Roman" w:cs="Times New Roman"/>
          <w:i/>
          <w:lang w:eastAsia="cs-CZ"/>
        </w:rPr>
      </w:pPr>
      <w:r w:rsidRPr="00617639">
        <w:rPr>
          <w:rFonts w:eastAsia="Times New Roman" w:cs="Times New Roman"/>
          <w:i/>
          <w:lang w:eastAsia="cs-CZ"/>
        </w:rPr>
        <w:t xml:space="preserve">nově doplněna </w:t>
      </w:r>
      <w:proofErr w:type="spellStart"/>
      <w:r w:rsidRPr="00617639">
        <w:rPr>
          <w:rFonts w:eastAsia="Times New Roman" w:cs="Times New Roman"/>
          <w:i/>
          <w:lang w:eastAsia="cs-CZ"/>
        </w:rPr>
        <w:t>pol</w:t>
      </w:r>
      <w:proofErr w:type="spellEnd"/>
      <w:r w:rsidRPr="00617639">
        <w:rPr>
          <w:rFonts w:eastAsia="Times New Roman" w:cs="Times New Roman"/>
          <w:i/>
          <w:lang w:eastAsia="cs-CZ"/>
        </w:rPr>
        <w:t xml:space="preserve"> </w:t>
      </w:r>
      <w:proofErr w:type="gramStart"/>
      <w:r w:rsidRPr="00617639">
        <w:rPr>
          <w:rFonts w:eastAsia="Times New Roman" w:cs="Times New Roman"/>
          <w:i/>
          <w:lang w:eastAsia="cs-CZ"/>
        </w:rPr>
        <w:t>č.38</w:t>
      </w:r>
      <w:proofErr w:type="gramEnd"/>
      <w:r w:rsidRPr="00617639">
        <w:rPr>
          <w:rFonts w:eastAsia="Times New Roman" w:cs="Times New Roman"/>
          <w:i/>
          <w:lang w:eastAsia="cs-CZ"/>
        </w:rPr>
        <w:t xml:space="preserve"> a 39 (rozdělení původní položky č.37)</w:t>
      </w:r>
    </w:p>
    <w:p w:rsidR="00617639" w:rsidRPr="00617639" w:rsidRDefault="00617639" w:rsidP="00617639">
      <w:pPr>
        <w:pStyle w:val="Odstavecseseznamem"/>
        <w:numPr>
          <w:ilvl w:val="0"/>
          <w:numId w:val="10"/>
        </w:numPr>
        <w:spacing w:after="0" w:line="240" w:lineRule="auto"/>
        <w:rPr>
          <w:rFonts w:eastAsia="Times New Roman" w:cs="Times New Roman"/>
          <w:i/>
          <w:lang w:eastAsia="cs-CZ"/>
        </w:rPr>
      </w:pPr>
      <w:r w:rsidRPr="00617639">
        <w:rPr>
          <w:rFonts w:eastAsia="Times New Roman" w:cs="Times New Roman"/>
          <w:i/>
          <w:lang w:eastAsia="cs-CZ"/>
        </w:rPr>
        <w:t>u následujících položek bylo změněno pořadové číslo</w:t>
      </w:r>
    </w:p>
    <w:p w:rsidR="00617639" w:rsidRPr="00617639" w:rsidRDefault="00617639" w:rsidP="00617639">
      <w:pPr>
        <w:spacing w:after="0" w:line="240" w:lineRule="auto"/>
        <w:rPr>
          <w:rFonts w:eastAsia="Times New Roman" w:cs="Times New Roman"/>
          <w:i/>
          <w:lang w:eastAsia="cs-CZ"/>
        </w:rPr>
      </w:pPr>
    </w:p>
    <w:p w:rsidR="00617639" w:rsidRPr="00617639" w:rsidRDefault="00617639" w:rsidP="00617639">
      <w:pPr>
        <w:spacing w:after="0" w:line="240" w:lineRule="auto"/>
        <w:rPr>
          <w:rFonts w:eastAsia="Times New Roman" w:cs="Times New Roman"/>
          <w:i/>
          <w:lang w:eastAsia="cs-CZ"/>
        </w:rPr>
      </w:pPr>
      <w:r w:rsidRPr="00617639">
        <w:rPr>
          <w:rFonts w:eastAsia="Times New Roman" w:cs="Times New Roman"/>
          <w:i/>
          <w:lang w:eastAsia="cs-CZ"/>
        </w:rPr>
        <w:t>SO 05-20-01</w:t>
      </w:r>
    </w:p>
    <w:p w:rsidR="00617639" w:rsidRPr="00617639" w:rsidRDefault="00617639" w:rsidP="00617639">
      <w:pPr>
        <w:pStyle w:val="Odstavecseseznamem"/>
        <w:numPr>
          <w:ilvl w:val="0"/>
          <w:numId w:val="11"/>
        </w:numPr>
        <w:spacing w:after="0" w:line="240" w:lineRule="auto"/>
        <w:rPr>
          <w:rFonts w:eastAsia="Times New Roman" w:cs="Times New Roman"/>
          <w:i/>
          <w:lang w:eastAsia="cs-CZ"/>
        </w:rPr>
      </w:pPr>
      <w:r w:rsidRPr="00617639">
        <w:rPr>
          <w:rFonts w:eastAsia="Times New Roman" w:cs="Times New Roman"/>
          <w:i/>
          <w:lang w:eastAsia="cs-CZ"/>
        </w:rPr>
        <w:t xml:space="preserve">položka </w:t>
      </w:r>
      <w:proofErr w:type="gramStart"/>
      <w:r w:rsidRPr="00617639">
        <w:rPr>
          <w:rFonts w:eastAsia="Times New Roman" w:cs="Times New Roman"/>
          <w:i/>
          <w:lang w:eastAsia="cs-CZ"/>
        </w:rPr>
        <w:t>č.62</w:t>
      </w:r>
      <w:proofErr w:type="gramEnd"/>
      <w:r w:rsidRPr="00617639">
        <w:rPr>
          <w:rFonts w:eastAsia="Times New Roman" w:cs="Times New Roman"/>
          <w:i/>
          <w:lang w:eastAsia="cs-CZ"/>
        </w:rPr>
        <w:t xml:space="preserve"> (upraveno množství a číslo varianty)</w:t>
      </w:r>
    </w:p>
    <w:p w:rsidR="00617639" w:rsidRPr="00617639" w:rsidRDefault="00617639" w:rsidP="00617639">
      <w:pPr>
        <w:pStyle w:val="Odstavecseseznamem"/>
        <w:numPr>
          <w:ilvl w:val="0"/>
          <w:numId w:val="11"/>
        </w:numPr>
        <w:spacing w:after="0" w:line="240" w:lineRule="auto"/>
        <w:rPr>
          <w:rFonts w:eastAsia="Times New Roman" w:cs="Times New Roman"/>
          <w:i/>
          <w:lang w:eastAsia="cs-CZ"/>
        </w:rPr>
      </w:pPr>
      <w:r w:rsidRPr="00617639">
        <w:rPr>
          <w:rFonts w:eastAsia="Times New Roman" w:cs="Times New Roman"/>
          <w:i/>
          <w:lang w:eastAsia="cs-CZ"/>
        </w:rPr>
        <w:t xml:space="preserve">nově doplněna pol. č. 63 a 64 (rozdělení původní položky </w:t>
      </w:r>
      <w:proofErr w:type="gramStart"/>
      <w:r w:rsidRPr="00617639">
        <w:rPr>
          <w:rFonts w:eastAsia="Times New Roman" w:cs="Times New Roman"/>
          <w:i/>
          <w:lang w:eastAsia="cs-CZ"/>
        </w:rPr>
        <w:t>č.62</w:t>
      </w:r>
      <w:proofErr w:type="gramEnd"/>
      <w:r w:rsidRPr="00617639">
        <w:rPr>
          <w:rFonts w:eastAsia="Times New Roman" w:cs="Times New Roman"/>
          <w:i/>
          <w:lang w:eastAsia="cs-CZ"/>
        </w:rPr>
        <w:t>)</w:t>
      </w:r>
    </w:p>
    <w:p w:rsidR="00617639" w:rsidRPr="00617639" w:rsidRDefault="00617639" w:rsidP="00617639">
      <w:pPr>
        <w:pStyle w:val="Odstavecseseznamem"/>
        <w:numPr>
          <w:ilvl w:val="0"/>
          <w:numId w:val="11"/>
        </w:numPr>
        <w:spacing w:after="0" w:line="240" w:lineRule="auto"/>
        <w:rPr>
          <w:rFonts w:eastAsia="Times New Roman" w:cs="Times New Roman"/>
          <w:i/>
          <w:lang w:eastAsia="cs-CZ"/>
        </w:rPr>
      </w:pPr>
      <w:r w:rsidRPr="00617639">
        <w:rPr>
          <w:rFonts w:eastAsia="Times New Roman" w:cs="Times New Roman"/>
          <w:i/>
          <w:lang w:eastAsia="cs-CZ"/>
        </w:rPr>
        <w:t>u následujících položek bylo změněno pořadové číslo</w:t>
      </w:r>
    </w:p>
    <w:p w:rsidR="00617639" w:rsidRPr="00617639" w:rsidRDefault="00617639" w:rsidP="00617639">
      <w:pPr>
        <w:spacing w:after="0" w:line="240" w:lineRule="auto"/>
        <w:rPr>
          <w:rFonts w:eastAsia="Times New Roman" w:cs="Times New Roman"/>
          <w:i/>
          <w:lang w:eastAsia="cs-CZ"/>
        </w:rPr>
      </w:pPr>
    </w:p>
    <w:p w:rsidR="00617639" w:rsidRPr="00617639" w:rsidRDefault="00617639" w:rsidP="00617639">
      <w:pPr>
        <w:spacing w:after="0" w:line="240" w:lineRule="auto"/>
        <w:rPr>
          <w:rFonts w:eastAsia="Times New Roman" w:cs="Times New Roman"/>
          <w:i/>
          <w:lang w:eastAsia="cs-CZ"/>
        </w:rPr>
      </w:pPr>
      <w:r w:rsidRPr="00617639">
        <w:rPr>
          <w:rFonts w:eastAsia="Times New Roman" w:cs="Times New Roman"/>
          <w:i/>
          <w:lang w:eastAsia="cs-CZ"/>
        </w:rPr>
        <w:t>SO 04-20-02</w:t>
      </w:r>
    </w:p>
    <w:p w:rsidR="00617639" w:rsidRPr="00617639" w:rsidRDefault="00617639" w:rsidP="00617639">
      <w:pPr>
        <w:pStyle w:val="Odstavecseseznamem"/>
        <w:numPr>
          <w:ilvl w:val="0"/>
          <w:numId w:val="12"/>
        </w:numPr>
        <w:spacing w:after="0" w:line="240" w:lineRule="auto"/>
        <w:rPr>
          <w:rFonts w:eastAsia="Times New Roman" w:cs="Times New Roman"/>
          <w:i/>
          <w:lang w:eastAsia="cs-CZ"/>
        </w:rPr>
      </w:pPr>
      <w:r w:rsidRPr="00617639">
        <w:rPr>
          <w:rFonts w:eastAsia="Times New Roman" w:cs="Times New Roman"/>
          <w:i/>
          <w:lang w:eastAsia="cs-CZ"/>
        </w:rPr>
        <w:t>položka č. 49 (upraveno množství a číslo varianty)</w:t>
      </w:r>
    </w:p>
    <w:p w:rsidR="00617639" w:rsidRPr="00617639" w:rsidRDefault="00617639" w:rsidP="00617639">
      <w:pPr>
        <w:pStyle w:val="Odstavecseseznamem"/>
        <w:numPr>
          <w:ilvl w:val="0"/>
          <w:numId w:val="12"/>
        </w:numPr>
        <w:spacing w:after="0" w:line="240" w:lineRule="auto"/>
        <w:rPr>
          <w:rFonts w:eastAsia="Times New Roman" w:cs="Times New Roman"/>
          <w:i/>
          <w:lang w:eastAsia="cs-CZ"/>
        </w:rPr>
      </w:pPr>
      <w:r w:rsidRPr="00617639">
        <w:rPr>
          <w:rFonts w:eastAsia="Times New Roman" w:cs="Times New Roman"/>
          <w:i/>
          <w:lang w:eastAsia="cs-CZ"/>
        </w:rPr>
        <w:t xml:space="preserve">nově doplněna pol. č. 50 (rozdělení původní položky </w:t>
      </w:r>
      <w:proofErr w:type="gramStart"/>
      <w:r w:rsidRPr="00617639">
        <w:rPr>
          <w:rFonts w:eastAsia="Times New Roman" w:cs="Times New Roman"/>
          <w:i/>
          <w:lang w:eastAsia="cs-CZ"/>
        </w:rPr>
        <w:t>č.49</w:t>
      </w:r>
      <w:proofErr w:type="gramEnd"/>
      <w:r w:rsidRPr="00617639">
        <w:rPr>
          <w:rFonts w:eastAsia="Times New Roman" w:cs="Times New Roman"/>
          <w:i/>
          <w:lang w:eastAsia="cs-CZ"/>
        </w:rPr>
        <w:t>)</w:t>
      </w:r>
    </w:p>
    <w:p w:rsidR="00617639" w:rsidRPr="00617639" w:rsidRDefault="00617639" w:rsidP="00617639">
      <w:pPr>
        <w:pStyle w:val="Odstavecseseznamem"/>
        <w:numPr>
          <w:ilvl w:val="0"/>
          <w:numId w:val="12"/>
        </w:numPr>
        <w:spacing w:after="0" w:line="240" w:lineRule="auto"/>
        <w:rPr>
          <w:rFonts w:eastAsia="Times New Roman" w:cs="Times New Roman"/>
          <w:i/>
          <w:lang w:eastAsia="cs-CZ"/>
        </w:rPr>
      </w:pPr>
      <w:r w:rsidRPr="00617639">
        <w:rPr>
          <w:rFonts w:eastAsia="Times New Roman" w:cs="Times New Roman"/>
          <w:i/>
          <w:lang w:eastAsia="cs-CZ"/>
        </w:rPr>
        <w:t>u následujících položek bylo změněno pořadové číslo</w:t>
      </w:r>
    </w:p>
    <w:p w:rsidR="00617639" w:rsidRPr="00617639" w:rsidRDefault="00617639" w:rsidP="00617639">
      <w:pPr>
        <w:spacing w:after="0" w:line="240" w:lineRule="auto"/>
        <w:rPr>
          <w:rFonts w:eastAsia="Times New Roman" w:cs="Times New Roman"/>
          <w:i/>
          <w:lang w:eastAsia="cs-CZ"/>
        </w:rPr>
      </w:pPr>
    </w:p>
    <w:p w:rsidR="00617639" w:rsidRPr="00617639" w:rsidRDefault="00617639" w:rsidP="00617639">
      <w:pPr>
        <w:spacing w:after="0" w:line="240" w:lineRule="auto"/>
        <w:rPr>
          <w:rFonts w:eastAsia="Times New Roman" w:cs="Times New Roman"/>
          <w:i/>
          <w:lang w:eastAsia="cs-CZ"/>
        </w:rPr>
      </w:pPr>
      <w:r w:rsidRPr="00617639">
        <w:rPr>
          <w:rFonts w:eastAsia="Times New Roman" w:cs="Times New Roman"/>
          <w:i/>
          <w:lang w:eastAsia="cs-CZ"/>
        </w:rPr>
        <w:t>SO 05-20-05</w:t>
      </w:r>
    </w:p>
    <w:p w:rsidR="00617639" w:rsidRPr="00617639" w:rsidRDefault="00617639" w:rsidP="00617639">
      <w:pPr>
        <w:pStyle w:val="Odstavecseseznamem"/>
        <w:numPr>
          <w:ilvl w:val="0"/>
          <w:numId w:val="13"/>
        </w:numPr>
        <w:spacing w:after="0" w:line="240" w:lineRule="auto"/>
        <w:rPr>
          <w:rFonts w:eastAsia="Times New Roman" w:cs="Times New Roman"/>
          <w:i/>
          <w:lang w:eastAsia="cs-CZ"/>
        </w:rPr>
      </w:pPr>
      <w:r w:rsidRPr="00617639">
        <w:rPr>
          <w:rFonts w:eastAsia="Times New Roman" w:cs="Times New Roman"/>
          <w:i/>
          <w:lang w:eastAsia="cs-CZ"/>
        </w:rPr>
        <w:t xml:space="preserve">položka </w:t>
      </w:r>
      <w:proofErr w:type="gramStart"/>
      <w:r w:rsidRPr="00617639">
        <w:rPr>
          <w:rFonts w:eastAsia="Times New Roman" w:cs="Times New Roman"/>
          <w:i/>
          <w:lang w:eastAsia="cs-CZ"/>
        </w:rPr>
        <w:t>č.55</w:t>
      </w:r>
      <w:proofErr w:type="gramEnd"/>
      <w:r w:rsidRPr="00617639">
        <w:rPr>
          <w:rFonts w:eastAsia="Times New Roman" w:cs="Times New Roman"/>
          <w:i/>
          <w:lang w:eastAsia="cs-CZ"/>
        </w:rPr>
        <w:t xml:space="preserve"> (upraveno množství a číslo varianty)</w:t>
      </w:r>
    </w:p>
    <w:p w:rsidR="00617639" w:rsidRPr="00617639" w:rsidRDefault="00617639" w:rsidP="00617639">
      <w:pPr>
        <w:pStyle w:val="Odstavecseseznamem"/>
        <w:numPr>
          <w:ilvl w:val="0"/>
          <w:numId w:val="13"/>
        </w:numPr>
        <w:spacing w:after="0" w:line="240" w:lineRule="auto"/>
        <w:rPr>
          <w:rFonts w:eastAsia="Times New Roman" w:cs="Times New Roman"/>
          <w:i/>
          <w:lang w:eastAsia="cs-CZ"/>
        </w:rPr>
      </w:pPr>
      <w:r w:rsidRPr="00617639">
        <w:rPr>
          <w:rFonts w:eastAsia="Times New Roman" w:cs="Times New Roman"/>
          <w:i/>
          <w:lang w:eastAsia="cs-CZ"/>
        </w:rPr>
        <w:t xml:space="preserve">nově doplněna pol. č. 56 (rozdělení původní položky </w:t>
      </w:r>
      <w:proofErr w:type="gramStart"/>
      <w:r w:rsidRPr="00617639">
        <w:rPr>
          <w:rFonts w:eastAsia="Times New Roman" w:cs="Times New Roman"/>
          <w:i/>
          <w:lang w:eastAsia="cs-CZ"/>
        </w:rPr>
        <w:t>č.55</w:t>
      </w:r>
      <w:proofErr w:type="gramEnd"/>
      <w:r w:rsidRPr="00617639">
        <w:rPr>
          <w:rFonts w:eastAsia="Times New Roman" w:cs="Times New Roman"/>
          <w:i/>
          <w:lang w:eastAsia="cs-CZ"/>
        </w:rPr>
        <w:t>)</w:t>
      </w:r>
    </w:p>
    <w:p w:rsidR="00617639" w:rsidRPr="00617639" w:rsidRDefault="00617639" w:rsidP="00617639">
      <w:pPr>
        <w:pStyle w:val="Odstavecseseznamem"/>
        <w:numPr>
          <w:ilvl w:val="0"/>
          <w:numId w:val="13"/>
        </w:numPr>
        <w:spacing w:after="0" w:line="240" w:lineRule="auto"/>
        <w:rPr>
          <w:rFonts w:eastAsia="Times New Roman" w:cs="Times New Roman"/>
          <w:i/>
          <w:lang w:eastAsia="cs-CZ"/>
        </w:rPr>
      </w:pPr>
      <w:r w:rsidRPr="00617639">
        <w:rPr>
          <w:rFonts w:eastAsia="Times New Roman" w:cs="Times New Roman"/>
          <w:i/>
          <w:lang w:eastAsia="cs-CZ"/>
        </w:rPr>
        <w:t>u následujících položek bylo změněno pořadové číslo</w:t>
      </w:r>
    </w:p>
    <w:p w:rsidR="00617639" w:rsidRPr="00617639" w:rsidRDefault="00617639" w:rsidP="00617639">
      <w:pPr>
        <w:spacing w:after="0" w:line="240" w:lineRule="auto"/>
        <w:rPr>
          <w:rFonts w:eastAsia="Times New Roman" w:cs="Times New Roman"/>
          <w:bCs/>
          <w:i/>
          <w:iCs/>
          <w:lang w:eastAsia="cs-CZ"/>
        </w:rPr>
      </w:pPr>
    </w:p>
    <w:p w:rsidR="00617639" w:rsidRPr="00617639" w:rsidRDefault="00617639" w:rsidP="00617639">
      <w:pPr>
        <w:spacing w:after="0" w:line="240" w:lineRule="auto"/>
        <w:rPr>
          <w:rFonts w:eastAsia="Times New Roman" w:cs="Times New Roman"/>
          <w:bCs/>
          <w:i/>
          <w:iCs/>
          <w:lang w:eastAsia="cs-CZ"/>
        </w:rPr>
      </w:pPr>
      <w:r w:rsidRPr="00617639">
        <w:rPr>
          <w:rFonts w:eastAsia="Times New Roman" w:cs="Times New Roman"/>
          <w:bCs/>
          <w:i/>
          <w:iCs/>
          <w:lang w:eastAsia="cs-CZ"/>
        </w:rPr>
        <w:t>Upraveny dokumenty:</w:t>
      </w:r>
    </w:p>
    <w:p w:rsidR="00617639" w:rsidRPr="00617639" w:rsidRDefault="00617639" w:rsidP="00617639">
      <w:pPr>
        <w:pStyle w:val="Odstavecseseznamem"/>
        <w:numPr>
          <w:ilvl w:val="0"/>
          <w:numId w:val="14"/>
        </w:numPr>
        <w:spacing w:after="0" w:line="240" w:lineRule="auto"/>
        <w:rPr>
          <w:rFonts w:eastAsia="Times New Roman" w:cs="Times New Roman"/>
          <w:bCs/>
          <w:i/>
          <w:iCs/>
          <w:lang w:eastAsia="cs-CZ"/>
        </w:rPr>
      </w:pPr>
      <w:r w:rsidRPr="00617639">
        <w:rPr>
          <w:rFonts w:eastAsia="Times New Roman" w:cs="Times New Roman"/>
          <w:bCs/>
          <w:i/>
          <w:iCs/>
          <w:lang w:eastAsia="cs-CZ"/>
        </w:rPr>
        <w:t>SO042002_upr01.xlsm</w:t>
      </w:r>
    </w:p>
    <w:p w:rsidR="00617639" w:rsidRPr="00617639" w:rsidRDefault="00617639" w:rsidP="00617639">
      <w:pPr>
        <w:pStyle w:val="Odstavecseseznamem"/>
        <w:numPr>
          <w:ilvl w:val="0"/>
          <w:numId w:val="14"/>
        </w:numPr>
        <w:spacing w:after="0" w:line="240" w:lineRule="auto"/>
        <w:rPr>
          <w:rFonts w:eastAsia="Times New Roman" w:cs="Times New Roman"/>
          <w:bCs/>
          <w:i/>
          <w:iCs/>
          <w:lang w:eastAsia="cs-CZ"/>
        </w:rPr>
      </w:pPr>
      <w:r w:rsidRPr="00617639">
        <w:rPr>
          <w:rFonts w:eastAsia="Times New Roman" w:cs="Times New Roman"/>
          <w:bCs/>
          <w:i/>
          <w:iCs/>
          <w:lang w:eastAsia="cs-CZ"/>
        </w:rPr>
        <w:t>SO042101_upr01.xlsm</w:t>
      </w:r>
    </w:p>
    <w:p w:rsidR="00617639" w:rsidRPr="00617639" w:rsidRDefault="00617639" w:rsidP="00617639">
      <w:pPr>
        <w:pStyle w:val="Odstavecseseznamem"/>
        <w:numPr>
          <w:ilvl w:val="0"/>
          <w:numId w:val="14"/>
        </w:numPr>
        <w:spacing w:after="0" w:line="240" w:lineRule="auto"/>
        <w:rPr>
          <w:rFonts w:eastAsia="Times New Roman" w:cs="Times New Roman"/>
          <w:bCs/>
          <w:i/>
          <w:iCs/>
          <w:lang w:eastAsia="cs-CZ"/>
        </w:rPr>
      </w:pPr>
      <w:r w:rsidRPr="00617639">
        <w:rPr>
          <w:rFonts w:eastAsia="Times New Roman" w:cs="Times New Roman"/>
          <w:bCs/>
          <w:i/>
          <w:iCs/>
          <w:lang w:eastAsia="cs-CZ"/>
        </w:rPr>
        <w:t>SO052001_upr01.xlsm</w:t>
      </w:r>
    </w:p>
    <w:p w:rsidR="00617639" w:rsidRPr="00617639" w:rsidRDefault="00617639" w:rsidP="00617639">
      <w:pPr>
        <w:pStyle w:val="Odstavecseseznamem"/>
        <w:numPr>
          <w:ilvl w:val="0"/>
          <w:numId w:val="14"/>
        </w:numPr>
        <w:spacing w:after="0" w:line="240" w:lineRule="auto"/>
        <w:rPr>
          <w:rFonts w:eastAsia="Times New Roman" w:cs="Times New Roman"/>
          <w:bCs/>
          <w:i/>
          <w:iCs/>
          <w:lang w:eastAsia="cs-CZ"/>
        </w:rPr>
      </w:pPr>
      <w:r w:rsidRPr="00617639">
        <w:rPr>
          <w:rFonts w:eastAsia="Times New Roman" w:cs="Times New Roman"/>
          <w:bCs/>
          <w:i/>
          <w:iCs/>
          <w:lang w:eastAsia="cs-CZ"/>
        </w:rPr>
        <w:t>SO052005_upr01.xlsm</w:t>
      </w:r>
    </w:p>
    <w:p w:rsidR="002953B4" w:rsidRDefault="002953B4" w:rsidP="00BD5319">
      <w:pPr>
        <w:spacing w:after="0" w:line="240" w:lineRule="auto"/>
        <w:rPr>
          <w:rFonts w:eastAsia="Times New Roman" w:cs="Times New Roman"/>
          <w:b/>
          <w:color w:val="FF0000"/>
          <w:lang w:eastAsia="cs-CZ"/>
        </w:rPr>
      </w:pPr>
    </w:p>
    <w:p w:rsidR="002953B4" w:rsidRDefault="002953B4" w:rsidP="00BD5319">
      <w:pPr>
        <w:spacing w:after="0" w:line="240" w:lineRule="auto"/>
        <w:rPr>
          <w:rFonts w:eastAsia="Times New Roman" w:cs="Times New Roman"/>
          <w:b/>
          <w:color w:val="FF0000"/>
          <w:lang w:eastAsia="cs-CZ"/>
        </w:rPr>
      </w:pPr>
    </w:p>
    <w:p w:rsidR="002953B4" w:rsidRPr="00871912" w:rsidRDefault="002953B4" w:rsidP="002953B4">
      <w:pPr>
        <w:spacing w:after="0" w:line="240" w:lineRule="auto"/>
        <w:rPr>
          <w:rFonts w:eastAsia="Calibri" w:cs="Times New Roman"/>
          <w:b/>
          <w:lang w:eastAsia="cs-CZ"/>
        </w:rPr>
      </w:pPr>
      <w:r w:rsidRPr="00871912">
        <w:rPr>
          <w:rFonts w:eastAsia="Calibri" w:cs="Times New Roman"/>
          <w:b/>
          <w:lang w:eastAsia="cs-CZ"/>
        </w:rPr>
        <w:t xml:space="preserve">Dotaz č. </w:t>
      </w:r>
      <w:r>
        <w:rPr>
          <w:rFonts w:eastAsia="Calibri" w:cs="Times New Roman"/>
          <w:b/>
          <w:lang w:eastAsia="cs-CZ"/>
        </w:rPr>
        <w:t>24</w:t>
      </w:r>
      <w:r w:rsidRPr="00871912">
        <w:rPr>
          <w:rFonts w:eastAsia="Calibri" w:cs="Times New Roman"/>
          <w:b/>
          <w:lang w:eastAsia="cs-CZ"/>
        </w:rPr>
        <w:t>:</w:t>
      </w:r>
    </w:p>
    <w:p w:rsidR="00926D5E" w:rsidRDefault="00926D5E" w:rsidP="00926D5E">
      <w:pPr>
        <w:spacing w:after="160" w:line="256" w:lineRule="auto"/>
        <w:jc w:val="both"/>
      </w:pPr>
      <w:r>
        <w:t xml:space="preserve">V rozpočtu objektu SO 05-54-01 je uvedena položka č. 3 - Protlačování </w:t>
      </w:r>
      <w:proofErr w:type="gramStart"/>
      <w:r>
        <w:t>potrubí z plast. hmot</w:t>
      </w:r>
      <w:proofErr w:type="gramEnd"/>
      <w:r>
        <w:t xml:space="preserve"> DN do 200 mm v celkové výměře 2 800 m. Pro tento objekt existuje pouze společná projektová dokumentace pro objekty SO 02-54-01, 03-54-01, 04-54-01 a 05-54-01.</w:t>
      </w:r>
    </w:p>
    <w:p w:rsidR="00926D5E" w:rsidRDefault="00926D5E" w:rsidP="00926D5E">
      <w:pPr>
        <w:spacing w:after="0"/>
        <w:jc w:val="both"/>
      </w:pPr>
      <w:r>
        <w:t xml:space="preserve">V technické zprávě Elektrorozvodné </w:t>
      </w:r>
      <w:proofErr w:type="gramStart"/>
      <w:r>
        <w:t>sítě (D.2.1.5.1</w:t>
      </w:r>
      <w:proofErr w:type="gramEnd"/>
      <w:r>
        <w:t xml:space="preserve"> příloha číslo 1)  jsou zmíněna místa křížení takto: </w:t>
      </w:r>
    </w:p>
    <w:p w:rsidR="00926D5E" w:rsidRDefault="00926D5E" w:rsidP="00926D5E">
      <w:pPr>
        <w:spacing w:after="0" w:line="240" w:lineRule="auto"/>
        <w:jc w:val="both"/>
      </w:pPr>
      <w:r>
        <w:t xml:space="preserve">SO 02-54-01 - </w:t>
      </w:r>
      <w:proofErr w:type="spellStart"/>
      <w:r>
        <w:t>žkm</w:t>
      </w:r>
      <w:proofErr w:type="spellEnd"/>
      <w:r>
        <w:t xml:space="preserve"> 258,676 - Křížení bude případně řešeno protlakem</w:t>
      </w:r>
    </w:p>
    <w:p w:rsidR="00926D5E" w:rsidRDefault="00926D5E" w:rsidP="00926D5E">
      <w:pPr>
        <w:spacing w:after="0" w:line="240" w:lineRule="auto"/>
        <w:jc w:val="both"/>
      </w:pPr>
      <w:r>
        <w:t xml:space="preserve">SO 03-54-01 - </w:t>
      </w:r>
      <w:proofErr w:type="spellStart"/>
      <w:r>
        <w:t>žkm</w:t>
      </w:r>
      <w:proofErr w:type="spellEnd"/>
      <w:r>
        <w:t xml:space="preserve"> 261,139 - Křížení bude případně řešeno protlakem</w:t>
      </w:r>
    </w:p>
    <w:p w:rsidR="00926D5E" w:rsidRDefault="00926D5E" w:rsidP="00926D5E">
      <w:pPr>
        <w:spacing w:after="0" w:line="240" w:lineRule="auto"/>
        <w:jc w:val="both"/>
      </w:pPr>
      <w:r>
        <w:t xml:space="preserve">SO 05-54-01 - </w:t>
      </w:r>
      <w:proofErr w:type="spellStart"/>
      <w:r>
        <w:t>žkm</w:t>
      </w:r>
      <w:proofErr w:type="spellEnd"/>
      <w:r>
        <w:t xml:space="preserve"> 266,594 - Zde bude proveden protlak pod ulicí Žerotínova</w:t>
      </w:r>
    </w:p>
    <w:p w:rsidR="00926D5E" w:rsidRDefault="00926D5E" w:rsidP="00926D5E">
      <w:pPr>
        <w:spacing w:after="0" w:line="240" w:lineRule="auto"/>
        <w:jc w:val="both"/>
      </w:pPr>
      <w:r>
        <w:t>Ve výkresové dokumentaci jsou tato místa křížení zakreslena ve výkresech:</w:t>
      </w:r>
    </w:p>
    <w:p w:rsidR="00926D5E" w:rsidRDefault="00926D5E" w:rsidP="00926D5E">
      <w:pPr>
        <w:spacing w:after="0" w:line="240" w:lineRule="auto"/>
        <w:jc w:val="both"/>
      </w:pPr>
      <w:proofErr w:type="gramStart"/>
      <w:r>
        <w:t>D.2.1.5.1</w:t>
      </w:r>
      <w:proofErr w:type="gramEnd"/>
      <w:r>
        <w:t xml:space="preserve"> - Číslo přílohy 2.1 - SO 02-54-01 Ústí nad Orlicí - Bezpráví, úprava a ochrana přípojky k domku v km 258,676 - Situace</w:t>
      </w:r>
    </w:p>
    <w:p w:rsidR="00926D5E" w:rsidRDefault="00926D5E" w:rsidP="00926D5E">
      <w:pPr>
        <w:spacing w:after="0" w:line="240" w:lineRule="auto"/>
        <w:jc w:val="both"/>
      </w:pPr>
      <w:proofErr w:type="gramStart"/>
      <w:r>
        <w:t>D.2.1.5.1</w:t>
      </w:r>
      <w:proofErr w:type="gramEnd"/>
      <w:r>
        <w:t xml:space="preserve"> - Číslo přílohy 2.2 - SO 03-54-01 Ústí nad Orlicí - Bezpráví, úprava a ochrana přípojky k domku v km 261,139 - Situace</w:t>
      </w:r>
    </w:p>
    <w:p w:rsidR="00926D5E" w:rsidRDefault="00926D5E" w:rsidP="00926D5E">
      <w:pPr>
        <w:spacing w:after="0" w:line="240" w:lineRule="auto"/>
        <w:jc w:val="both"/>
      </w:pPr>
      <w:proofErr w:type="gramStart"/>
      <w:r>
        <w:t>D.2.1.5.1</w:t>
      </w:r>
      <w:proofErr w:type="gramEnd"/>
      <w:r>
        <w:t xml:space="preserve"> - Číslo přílohy 2.4 - SO 05-54-01 ŽST Brandýs nad Orlicí </w:t>
      </w:r>
      <w:proofErr w:type="spellStart"/>
      <w:r>
        <w:t>přejízdné</w:t>
      </w:r>
      <w:proofErr w:type="spellEnd"/>
      <w:r>
        <w:t xml:space="preserve"> koleje, železniční most v ev. km. 266,594, úprava veřejného osvětlení - Situace</w:t>
      </w:r>
    </w:p>
    <w:p w:rsidR="00926D5E" w:rsidRDefault="00926D5E" w:rsidP="00926D5E">
      <w:pPr>
        <w:spacing w:after="0"/>
        <w:ind w:left="708"/>
        <w:jc w:val="both"/>
      </w:pPr>
    </w:p>
    <w:p w:rsidR="002953B4" w:rsidRPr="00926D5E" w:rsidRDefault="00926D5E" w:rsidP="00926D5E">
      <w:pPr>
        <w:jc w:val="both"/>
      </w:pPr>
      <w:r>
        <w:lastRenderedPageBreak/>
        <w:t>Ve výše zmíněné Technické zprávě a výkresové dokumentaci nejsou uvedeny dimenze ani materiál chrániček, dále nejsou uvedeny délky jednotlivých protlaků, hloubky uložení chrániček, počet chrániček v rámci jednoho křížení. Dle výkresové dokumentace odhadovaný součet délek protlaků ani řádově neodpovídá celkové délce 2 800 m tak, jak je uvedeno v rozpočtu SO 05-54-01. Může zadavatel doplnit projektovou dokumentaci o přesné délky protlaků, vč. specifikace chrániček a upravit položku č. 3. v rozpočtu objektu SO 05-54-01 tak, aby výměra byla v souladu s výkresovou dokumentací? Pokud je výměra 2 800 metrů v rozpočtu uvedena správně, žádáme o doplnění výkresové dokumentace o veškeré protlaky včetně jejich délek, specifikace chrániček atd...</w:t>
      </w:r>
    </w:p>
    <w:p w:rsidR="002953B4" w:rsidRPr="00BD5319" w:rsidRDefault="002953B4" w:rsidP="002953B4">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rsidR="00617639" w:rsidRPr="00617639" w:rsidRDefault="00617639" w:rsidP="00617639">
      <w:pPr>
        <w:spacing w:after="0" w:line="240" w:lineRule="auto"/>
        <w:rPr>
          <w:rFonts w:eastAsia="Times New Roman" w:cs="Times New Roman"/>
          <w:i/>
          <w:lang w:eastAsia="cs-CZ"/>
        </w:rPr>
      </w:pPr>
      <w:r w:rsidRPr="00617639">
        <w:rPr>
          <w:rFonts w:eastAsia="Times New Roman" w:cs="Times New Roman"/>
          <w:i/>
          <w:lang w:eastAsia="cs-CZ"/>
        </w:rPr>
        <w:t>Pro protlaky budou použity chráničky HDPE o průměru 100 mm.</w:t>
      </w:r>
    </w:p>
    <w:p w:rsidR="00617639" w:rsidRPr="00617639" w:rsidRDefault="00617639" w:rsidP="00617639">
      <w:pPr>
        <w:spacing w:after="0" w:line="240" w:lineRule="auto"/>
        <w:rPr>
          <w:rFonts w:eastAsia="Times New Roman" w:cs="Times New Roman"/>
          <w:i/>
          <w:lang w:eastAsia="cs-CZ"/>
        </w:rPr>
      </w:pPr>
      <w:r w:rsidRPr="00617639">
        <w:rPr>
          <w:rFonts w:eastAsia="Times New Roman" w:cs="Times New Roman"/>
          <w:i/>
          <w:lang w:eastAsia="cs-CZ"/>
        </w:rPr>
        <w:t>Položka č. 3 v soupise prací SO 05-54-01 byla upravena.</w:t>
      </w:r>
    </w:p>
    <w:p w:rsidR="00617639" w:rsidRPr="00617639" w:rsidRDefault="00617639" w:rsidP="00617639">
      <w:pPr>
        <w:spacing w:after="0" w:line="240" w:lineRule="auto"/>
        <w:rPr>
          <w:rFonts w:eastAsia="Times New Roman" w:cs="Times New Roman"/>
          <w:bCs/>
          <w:i/>
          <w:iCs/>
          <w:lang w:eastAsia="cs-CZ"/>
        </w:rPr>
      </w:pPr>
      <w:r w:rsidRPr="00617639">
        <w:rPr>
          <w:rFonts w:eastAsia="Times New Roman" w:cs="Times New Roman"/>
          <w:bCs/>
          <w:i/>
          <w:iCs/>
          <w:lang w:eastAsia="cs-CZ"/>
        </w:rPr>
        <w:t>Upraven dokument SO055401_upr01.xlsm.</w:t>
      </w:r>
    </w:p>
    <w:p w:rsidR="002953B4" w:rsidRPr="00871912" w:rsidRDefault="002953B4" w:rsidP="002953B4">
      <w:pPr>
        <w:spacing w:after="0" w:line="240" w:lineRule="auto"/>
        <w:rPr>
          <w:rFonts w:eastAsia="Times New Roman" w:cs="Times New Roman"/>
          <w:color w:val="FF0000"/>
          <w:lang w:eastAsia="cs-CZ"/>
        </w:rPr>
      </w:pPr>
    </w:p>
    <w:p w:rsidR="00411C93" w:rsidRDefault="00411C93" w:rsidP="00BD5319">
      <w:pPr>
        <w:spacing w:after="0" w:line="240" w:lineRule="auto"/>
        <w:rPr>
          <w:rFonts w:eastAsia="Times New Roman" w:cs="Times New Roman"/>
          <w:b/>
          <w:color w:val="FF0000"/>
          <w:lang w:eastAsia="cs-CZ"/>
        </w:rPr>
      </w:pPr>
    </w:p>
    <w:p w:rsidR="002953B4" w:rsidRPr="00775DB3" w:rsidRDefault="00411C93" w:rsidP="00BD5319">
      <w:pPr>
        <w:spacing w:after="0" w:line="240" w:lineRule="auto"/>
        <w:rPr>
          <w:rFonts w:eastAsia="Calibri" w:cs="Times New Roman"/>
          <w:b/>
          <w:lang w:eastAsia="cs-CZ"/>
        </w:rPr>
      </w:pPr>
      <w:r w:rsidRPr="00775DB3">
        <w:rPr>
          <w:rFonts w:eastAsia="Calibri" w:cs="Times New Roman"/>
          <w:b/>
          <w:lang w:eastAsia="cs-CZ"/>
        </w:rPr>
        <w:t>Dotaz č. 25:</w:t>
      </w:r>
    </w:p>
    <w:p w:rsidR="00411C93" w:rsidRPr="00411C93" w:rsidRDefault="00411C93" w:rsidP="00411C93">
      <w:pPr>
        <w:spacing w:after="160" w:line="259" w:lineRule="auto"/>
      </w:pPr>
      <w:r w:rsidRPr="00775DB3">
        <w:t xml:space="preserve">Nesouhlasíme s odpovědí na dotaz uchazeče </w:t>
      </w:r>
      <w:proofErr w:type="gramStart"/>
      <w:r w:rsidRPr="00775DB3">
        <w:t>č.3 (zveřejněný</w:t>
      </w:r>
      <w:proofErr w:type="gramEnd"/>
      <w:r w:rsidRPr="00775DB3">
        <w:t xml:space="preserve"> v rámci Doplnění zadávací dokumentace č.1). Není věcí uchazečů, aby opravovali chybné nefunkční soubory zadání. Naopak zadavatel má poskytnout uchazečům jednoznačné zadání tak, aby bylo možné zpracovat nabídku. Žádáme zadavatele, aby na E-ZAK umístil opravené soubory, které bude možno stáhnout a otevřít. Zároveň konstatujeme, že nemožností prostudovat projektovou dokumentaci zadavatel uchazečům fakticky zkrátil lhůtu pro zpracování nabídky nejméně o 8dní. Přitom zadavatel využil nejkratší lhůtu pro odevzdání nabídky, kterou zákon umožňuje (30dní od zveřejnění na E-ZAK). V této situaci je posunutí termínu odevzdání nabídky o 1den naprosto nedostatečné a neodpovídá zákonu o zadávání veřejných zakázek.</w:t>
      </w:r>
    </w:p>
    <w:p w:rsidR="00411C93" w:rsidRPr="00BD5319" w:rsidRDefault="00411C93" w:rsidP="00411C93">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rsidR="003C388D" w:rsidRPr="00775DB3" w:rsidRDefault="003C388D" w:rsidP="003C388D">
      <w:pPr>
        <w:spacing w:after="0" w:line="240" w:lineRule="auto"/>
        <w:rPr>
          <w:rFonts w:eastAsia="Calibri" w:cs="Times New Roman"/>
          <w:i/>
          <w:lang w:eastAsia="cs-CZ"/>
        </w:rPr>
      </w:pPr>
      <w:r w:rsidRPr="00775DB3">
        <w:rPr>
          <w:rFonts w:eastAsia="Calibri" w:cs="Times New Roman"/>
          <w:i/>
          <w:lang w:eastAsia="cs-CZ"/>
        </w:rPr>
        <w:t xml:space="preserve">S ohledem na dotaz uchazeče zadavatel umísťuje na E-ZAK opravené soubory, tak aby je mohl každý uchazeč bez dalšího otevřít. </w:t>
      </w:r>
    </w:p>
    <w:p w:rsidR="00BD5319" w:rsidRPr="00BD5319" w:rsidRDefault="00BD5319" w:rsidP="00BD5319">
      <w:pPr>
        <w:spacing w:after="0" w:line="240" w:lineRule="auto"/>
        <w:jc w:val="both"/>
        <w:rPr>
          <w:rFonts w:eastAsia="Times New Roman" w:cs="Times New Roman"/>
          <w:lang w:eastAsia="cs-CZ"/>
        </w:rPr>
      </w:pPr>
    </w:p>
    <w:p w:rsidR="00BD5319" w:rsidRPr="00BD5319" w:rsidRDefault="00BD5319" w:rsidP="00BD5319">
      <w:pPr>
        <w:spacing w:after="0" w:line="240" w:lineRule="auto"/>
        <w:ind w:firstLine="567"/>
        <w:rPr>
          <w:rFonts w:eastAsia="Times New Roman" w:cs="Times New Roman"/>
          <w:lang w:eastAsia="cs-CZ"/>
        </w:rPr>
      </w:pPr>
    </w:p>
    <w:p w:rsidR="00BD5319" w:rsidRPr="001536AE" w:rsidRDefault="00BD5319" w:rsidP="001536AE">
      <w:pPr>
        <w:spacing w:after="0" w:line="240" w:lineRule="auto"/>
        <w:rPr>
          <w:rFonts w:eastAsia="Times New Roman" w:cs="Times New Roman"/>
          <w:u w:val="single"/>
          <w:lang w:eastAsia="cs-CZ"/>
        </w:rPr>
      </w:pPr>
      <w:r w:rsidRPr="00BD5319">
        <w:rPr>
          <w:rFonts w:eastAsia="Times New Roman" w:cs="Times New Roman"/>
          <w:lang w:eastAsia="cs-CZ"/>
        </w:rPr>
        <w:t xml:space="preserve">Vzhledem ke skutečnosti, že byly zadavatelem </w:t>
      </w:r>
      <w:r w:rsidRPr="001536AE">
        <w:rPr>
          <w:rFonts w:eastAsia="Times New Roman" w:cs="Times New Roman"/>
          <w:lang w:eastAsia="cs-CZ"/>
        </w:rPr>
        <w:t xml:space="preserve">provedeny </w:t>
      </w:r>
      <w:r w:rsidRPr="001536AE">
        <w:rPr>
          <w:rFonts w:eastAsia="Times New Roman" w:cs="Times New Roman"/>
          <w:b/>
          <w:lang w:eastAsia="cs-CZ"/>
        </w:rPr>
        <w:t xml:space="preserve">změny/doplnění zadávací </w:t>
      </w:r>
      <w:r w:rsidRPr="00F47412">
        <w:rPr>
          <w:rFonts w:eastAsia="Times New Roman" w:cs="Times New Roman"/>
          <w:b/>
          <w:lang w:eastAsia="cs-CZ"/>
        </w:rPr>
        <w:t>dokumentace</w:t>
      </w:r>
      <w:r w:rsidRPr="00F47412">
        <w:rPr>
          <w:rFonts w:eastAsia="Times New Roman" w:cs="Times New Roman"/>
          <w:lang w:eastAsia="cs-CZ"/>
        </w:rPr>
        <w:t xml:space="preserve">, postupuje zadavatel v souladu s </w:t>
      </w:r>
      <w:proofErr w:type="spellStart"/>
      <w:r w:rsidRPr="00F47412">
        <w:rPr>
          <w:rFonts w:eastAsia="Times New Roman" w:cs="Times New Roman"/>
          <w:lang w:eastAsia="cs-CZ"/>
        </w:rPr>
        <w:t>ust</w:t>
      </w:r>
      <w:proofErr w:type="spellEnd"/>
      <w:r w:rsidRPr="00F47412">
        <w:rPr>
          <w:rFonts w:eastAsia="Times New Roman" w:cs="Times New Roman"/>
          <w:lang w:eastAsia="cs-CZ"/>
        </w:rPr>
        <w:t xml:space="preserve">. § 99 odst. 2 ZZVZ a </w:t>
      </w:r>
      <w:r w:rsidRPr="00F47412">
        <w:rPr>
          <w:rFonts w:eastAsia="Times New Roman" w:cs="Times New Roman"/>
          <w:u w:val="single"/>
          <w:lang w:eastAsia="cs-CZ"/>
        </w:rPr>
        <w:t>prodlužuje lhůtu pro podání nabídek</w:t>
      </w:r>
      <w:r w:rsidR="001536AE" w:rsidRPr="00F47412">
        <w:rPr>
          <w:rFonts w:eastAsia="Times New Roman" w:cs="Times New Roman"/>
          <w:u w:val="single"/>
          <w:lang w:eastAsia="cs-CZ"/>
        </w:rPr>
        <w:t xml:space="preserve"> o celou svou původní délku</w:t>
      </w:r>
      <w:r w:rsidRPr="00F47412">
        <w:rPr>
          <w:rFonts w:eastAsia="Times New Roman" w:cs="Times New Roman"/>
          <w:u w:val="single"/>
          <w:lang w:eastAsia="cs-CZ"/>
        </w:rPr>
        <w:t xml:space="preserve"> ze dne </w:t>
      </w:r>
      <w:r w:rsidR="001536AE" w:rsidRPr="00F47412">
        <w:rPr>
          <w:rFonts w:eastAsia="Times New Roman" w:cs="Times New Roman"/>
          <w:u w:val="single"/>
          <w:lang w:eastAsia="cs-CZ"/>
        </w:rPr>
        <w:t xml:space="preserve">14. 8. 2020 </w:t>
      </w:r>
      <w:r w:rsidRPr="00F47412">
        <w:rPr>
          <w:rFonts w:eastAsia="Times New Roman" w:cs="Times New Roman"/>
          <w:u w:val="single"/>
          <w:lang w:eastAsia="cs-CZ"/>
        </w:rPr>
        <w:t xml:space="preserve">na den </w:t>
      </w:r>
      <w:r w:rsidR="001536AE" w:rsidRPr="00F47412">
        <w:rPr>
          <w:rFonts w:eastAsia="Times New Roman" w:cs="Times New Roman"/>
          <w:u w:val="single"/>
          <w:lang w:eastAsia="cs-CZ"/>
        </w:rPr>
        <w:t>24. 8. 2020</w:t>
      </w:r>
      <w:r w:rsidRPr="00F47412">
        <w:rPr>
          <w:rFonts w:eastAsia="Times New Roman" w:cs="Times New Roman"/>
          <w:u w:val="single"/>
          <w:lang w:eastAsia="cs-CZ"/>
        </w:rPr>
        <w:t>.</w:t>
      </w:r>
    </w:p>
    <w:p w:rsidR="00BD5319" w:rsidRPr="00BD5319" w:rsidRDefault="00BD5319" w:rsidP="00BD5319">
      <w:pPr>
        <w:spacing w:after="0" w:line="240" w:lineRule="auto"/>
        <w:rPr>
          <w:rFonts w:eastAsia="Times New Roman" w:cs="Times New Roman"/>
          <w:b/>
          <w:lang w:eastAsia="cs-CZ"/>
        </w:rPr>
      </w:pPr>
    </w:p>
    <w:p w:rsidR="00BD5319" w:rsidRPr="00BD5319" w:rsidRDefault="00BD5319" w:rsidP="00BD5319">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č. VZ </w:t>
      </w:r>
      <w:r w:rsidR="001536AE" w:rsidRPr="001536AE">
        <w:rPr>
          <w:rFonts w:eastAsia="Times New Roman" w:cs="Times New Roman"/>
          <w:lang w:eastAsia="cs-CZ"/>
        </w:rPr>
        <w:t>Z2020-024049</w:t>
      </w:r>
      <w:r w:rsidRPr="00BD5319">
        <w:rPr>
          <w:rFonts w:eastAsia="Times New Roman" w:cs="Times New Roman"/>
          <w:lang w:eastAsia="cs-CZ"/>
        </w:rPr>
        <w:t>). Změny se týkají těchto ustanovení:</w:t>
      </w:r>
    </w:p>
    <w:p w:rsidR="00BD5319" w:rsidRPr="00BD5319" w:rsidRDefault="00BD5319" w:rsidP="00BD5319">
      <w:pPr>
        <w:spacing w:after="0" w:line="240" w:lineRule="auto"/>
        <w:rPr>
          <w:rFonts w:eastAsia="Times New Roman" w:cs="Times New Roman"/>
          <w:b/>
          <w:lang w:eastAsia="cs-CZ"/>
        </w:rPr>
      </w:pP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1536AE">
        <w:rPr>
          <w:rFonts w:eastAsia="Times New Roman" w:cs="Times New Roman"/>
          <w:lang w:eastAsia="cs-CZ"/>
        </w:rPr>
        <w:t>13. 8 2020</w:t>
      </w:r>
      <w:r w:rsidRPr="00BD5319">
        <w:rPr>
          <w:rFonts w:eastAsia="Times New Roman" w:cs="Times New Roman"/>
          <w:lang w:eastAsia="cs-CZ"/>
        </w:rPr>
        <w:t xml:space="preserve"> v 10:00 hod. a nahrazujeme datem </w:t>
      </w:r>
      <w:r w:rsidR="001536AE">
        <w:rPr>
          <w:rFonts w:eastAsia="Times New Roman" w:cs="Times New Roman"/>
          <w:lang w:eastAsia="cs-CZ"/>
        </w:rPr>
        <w:t>24. 8. 2020</w:t>
      </w:r>
      <w:r w:rsidRPr="00BD5319">
        <w:rPr>
          <w:rFonts w:eastAsia="Times New Roman" w:cs="Times New Roman"/>
          <w:lang w:eastAsia="cs-CZ"/>
        </w:rPr>
        <w:t xml:space="preserve"> v 10:00 hod.,</w:t>
      </w:r>
      <w:r w:rsidRPr="00BD5319">
        <w:rPr>
          <w:rFonts w:eastAsia="Times New Roman" w:cs="Times New Roman"/>
          <w:b/>
          <w:lang w:eastAsia="cs-CZ"/>
        </w:rPr>
        <w:t xml:space="preserve">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1536AE">
        <w:rPr>
          <w:rFonts w:eastAsia="Times New Roman" w:cs="Times New Roman"/>
          <w:lang w:eastAsia="cs-CZ"/>
        </w:rPr>
        <w:t>13. 8. 2020</w:t>
      </w:r>
      <w:r w:rsidR="000B3A82">
        <w:rPr>
          <w:rFonts w:eastAsia="Times New Roman" w:cs="Times New Roman"/>
          <w:lang w:eastAsia="cs-CZ"/>
        </w:rPr>
        <w:t xml:space="preserve"> v 10:00</w:t>
      </w:r>
      <w:r w:rsidRPr="00BD5319">
        <w:rPr>
          <w:rFonts w:eastAsia="Times New Roman" w:cs="Times New Roman"/>
          <w:lang w:eastAsia="cs-CZ"/>
        </w:rPr>
        <w:t xml:space="preserve"> hod. a nahrazujeme datem </w:t>
      </w:r>
      <w:r w:rsidR="001536AE">
        <w:rPr>
          <w:rFonts w:eastAsia="Times New Roman" w:cs="Times New Roman"/>
          <w:lang w:eastAsia="cs-CZ"/>
        </w:rPr>
        <w:t>24. 8. 2020</w:t>
      </w:r>
      <w:r w:rsidR="000B3A82">
        <w:rPr>
          <w:rFonts w:eastAsia="Times New Roman" w:cs="Times New Roman"/>
          <w:lang w:eastAsia="cs-CZ"/>
        </w:rPr>
        <w:t xml:space="preserve"> v 10:00</w:t>
      </w:r>
      <w:r w:rsidRPr="00BD5319">
        <w:rPr>
          <w:rFonts w:eastAsia="Times New Roman" w:cs="Times New Roman"/>
          <w:lang w:eastAsia="cs-CZ"/>
        </w:rPr>
        <w:t xml:space="preserve"> hod.</w:t>
      </w:r>
    </w:p>
    <w:p w:rsidR="00BD5319" w:rsidRPr="00BD5319" w:rsidRDefault="00BD5319" w:rsidP="00BD5319">
      <w:pPr>
        <w:spacing w:after="0" w:line="240" w:lineRule="auto"/>
        <w:rPr>
          <w:rFonts w:eastAsia="Times New Roman" w:cs="Times New Roman"/>
          <w:lang w:eastAsia="cs-CZ"/>
        </w:rPr>
      </w:pPr>
    </w:p>
    <w:p w:rsidR="00BD5319" w:rsidRPr="00BD5319" w:rsidRDefault="00BD5319" w:rsidP="00BD5319">
      <w:pPr>
        <w:tabs>
          <w:tab w:val="left" w:pos="993"/>
          <w:tab w:val="center" w:pos="7371"/>
        </w:tabs>
        <w:spacing w:after="0" w:line="240" w:lineRule="auto"/>
        <w:jc w:val="both"/>
        <w:rPr>
          <w:rFonts w:eastAsia="Calibri" w:cs="Times New Roman"/>
          <w:lang w:eastAsia="cs-CZ"/>
        </w:rPr>
      </w:pPr>
      <w:r w:rsidRPr="001536AE">
        <w:rPr>
          <w:rFonts w:eastAsia="Calibri" w:cs="Times New Roman"/>
          <w:lang w:eastAsia="cs-CZ"/>
        </w:rPr>
        <w:t xml:space="preserve">Vysvětlení/ změnu/ doplnění zadávací </w:t>
      </w:r>
      <w:r w:rsidRPr="00BD5319">
        <w:rPr>
          <w:rFonts w:eastAsia="Calibri" w:cs="Times New Roman"/>
          <w:lang w:eastAsia="cs-CZ"/>
        </w:rPr>
        <w:t xml:space="preserve">dokumentace včetně příloh zadavatel uveřejňuje na profilu zadavatele na webovém portálu </w:t>
      </w:r>
      <w:hyperlink r:id="rId13" w:history="1">
        <w:r w:rsidRPr="00BD5319">
          <w:rPr>
            <w:rFonts w:eastAsia="Calibri" w:cs="Times New Roman"/>
            <w:color w:val="0000FF"/>
            <w:u w:val="single"/>
            <w:lang w:eastAsia="cs-CZ"/>
          </w:rPr>
          <w:t>https://zakazky.szdc.cz/</w:t>
        </w:r>
      </w:hyperlink>
      <w:r w:rsidRPr="00BD5319">
        <w:rPr>
          <w:rFonts w:eastAsia="Calibri" w:cs="Times New Roman"/>
          <w:u w:val="single"/>
          <w:lang w:eastAsia="cs-CZ"/>
        </w:rPr>
        <w:t>.</w:t>
      </w:r>
    </w:p>
    <w:p w:rsidR="00BD5319" w:rsidRPr="00BD5319" w:rsidRDefault="00BD5319" w:rsidP="00BD5319">
      <w:pPr>
        <w:spacing w:before="120" w:after="0" w:line="240" w:lineRule="auto"/>
        <w:rPr>
          <w:rFonts w:eastAsia="Calibri" w:cs="Times New Roman"/>
          <w:b/>
          <w:bCs/>
          <w:lang w:eastAsia="cs-CZ"/>
        </w:rPr>
      </w:pPr>
    </w:p>
    <w:p w:rsidR="00BD5319" w:rsidRPr="00BD5319" w:rsidRDefault="00BD5319" w:rsidP="00BD5319">
      <w:pPr>
        <w:tabs>
          <w:tab w:val="center" w:pos="7371"/>
        </w:tabs>
        <w:spacing w:after="0" w:line="240" w:lineRule="auto"/>
        <w:rPr>
          <w:rFonts w:eastAsia="Calibri" w:cs="Times New Roman"/>
          <w:b/>
          <w:bCs/>
          <w:lang w:eastAsia="cs-CZ"/>
        </w:rPr>
      </w:pPr>
    </w:p>
    <w:p w:rsidR="00BD5319" w:rsidRPr="00BD5319" w:rsidRDefault="00BD5319" w:rsidP="00BD5319">
      <w:pPr>
        <w:tabs>
          <w:tab w:val="center" w:pos="7371"/>
        </w:tabs>
        <w:spacing w:after="0" w:line="240" w:lineRule="auto"/>
        <w:rPr>
          <w:rFonts w:eastAsia="Calibri" w:cs="Times New Roman"/>
          <w:b/>
          <w:bCs/>
          <w:lang w:eastAsia="cs-CZ"/>
        </w:rPr>
      </w:pPr>
      <w:r w:rsidRPr="00F47412">
        <w:rPr>
          <w:rFonts w:eastAsia="Calibri" w:cs="Times New Roman"/>
          <w:b/>
          <w:bCs/>
          <w:lang w:eastAsia="cs-CZ"/>
        </w:rPr>
        <w:t>Příloha:</w:t>
      </w:r>
      <w:r w:rsidRPr="00BD5319">
        <w:rPr>
          <w:rFonts w:eastAsia="Calibri" w:cs="Times New Roman"/>
          <w:b/>
          <w:bCs/>
          <w:lang w:eastAsia="cs-CZ"/>
        </w:rPr>
        <w:t xml:space="preserve"> </w:t>
      </w:r>
      <w:r w:rsidRPr="00BD5319">
        <w:rPr>
          <w:rFonts w:eastAsia="Calibri" w:cs="Times New Roman"/>
          <w:bCs/>
          <w:lang w:eastAsia="cs-CZ"/>
        </w:rPr>
        <w:fldChar w:fldCharType="begin">
          <w:ffData>
            <w:name w:val="Text1"/>
            <w:enabled/>
            <w:calcOnExit w:val="0"/>
            <w:textInput>
              <w:type w:val="date"/>
              <w:format w:val="d.M.yyyy"/>
            </w:textInput>
          </w:ffData>
        </w:fldChar>
      </w:r>
      <w:r w:rsidRPr="00BD5319">
        <w:rPr>
          <w:rFonts w:eastAsia="Calibri" w:cs="Times New Roman"/>
          <w:bCs/>
          <w:lang w:eastAsia="cs-CZ"/>
        </w:rPr>
        <w:instrText xml:space="preserve"> FORMTEXT </w:instrText>
      </w:r>
      <w:r w:rsidRPr="00BD5319">
        <w:rPr>
          <w:rFonts w:eastAsia="Calibri" w:cs="Times New Roman"/>
          <w:bCs/>
          <w:lang w:eastAsia="cs-CZ"/>
        </w:rPr>
      </w:r>
      <w:r w:rsidRPr="00BD5319">
        <w:rPr>
          <w:rFonts w:eastAsia="Calibri" w:cs="Times New Roman"/>
          <w:bCs/>
          <w:lang w:eastAsia="cs-CZ"/>
        </w:rPr>
        <w:fldChar w:fldCharType="separate"/>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fldChar w:fldCharType="end"/>
      </w:r>
    </w:p>
    <w:p w:rsidR="00F47412" w:rsidRPr="00617639" w:rsidRDefault="00F47412" w:rsidP="00F47412">
      <w:pPr>
        <w:spacing w:after="0" w:line="240" w:lineRule="auto"/>
        <w:jc w:val="both"/>
        <w:rPr>
          <w:rFonts w:eastAsia="Calibri" w:cs="Times New Roman"/>
          <w:lang w:eastAsia="cs-CZ"/>
        </w:rPr>
      </w:pPr>
      <w:r w:rsidRPr="00617639">
        <w:rPr>
          <w:rFonts w:eastAsia="Calibri" w:cs="Times New Roman"/>
          <w:lang w:eastAsia="cs-CZ"/>
        </w:rPr>
        <w:t>B_08_01_upr01.pdf</w:t>
      </w:r>
    </w:p>
    <w:p w:rsidR="00F47412" w:rsidRPr="00617639" w:rsidRDefault="00F47412" w:rsidP="00F47412">
      <w:pPr>
        <w:spacing w:after="0" w:line="240" w:lineRule="auto"/>
        <w:jc w:val="both"/>
        <w:rPr>
          <w:rFonts w:eastAsia="Calibri" w:cs="Times New Roman"/>
          <w:lang w:eastAsia="cs-CZ"/>
        </w:rPr>
      </w:pPr>
      <w:r w:rsidRPr="00617639">
        <w:rPr>
          <w:rFonts w:eastAsia="Calibri" w:cs="Times New Roman"/>
          <w:lang w:eastAsia="cs-CZ"/>
        </w:rPr>
        <w:t>D_02_01_01_021001_2_2_Situace ŽSv,_km_259,20-261,10_upr1.pdf</w:t>
      </w:r>
    </w:p>
    <w:p w:rsidR="00F47412" w:rsidRPr="00617639" w:rsidRDefault="00F47412" w:rsidP="00F47412">
      <w:pPr>
        <w:spacing w:after="0" w:line="240" w:lineRule="auto"/>
        <w:jc w:val="both"/>
        <w:rPr>
          <w:rFonts w:eastAsia="Calibri" w:cs="Times New Roman"/>
          <w:lang w:eastAsia="cs-CZ"/>
        </w:rPr>
      </w:pPr>
      <w:r w:rsidRPr="00617639">
        <w:rPr>
          <w:rFonts w:eastAsia="Calibri" w:cs="Times New Roman"/>
          <w:lang w:eastAsia="cs-CZ"/>
        </w:rPr>
        <w:t>D_02_01_01_021001_3_2_Podélný_profil_1TK,_km_259,30-261,00_upr1.pdf</w:t>
      </w:r>
    </w:p>
    <w:p w:rsidR="00F47412" w:rsidRPr="00617639" w:rsidRDefault="00F47412" w:rsidP="00F47412">
      <w:pPr>
        <w:spacing w:after="0" w:line="240" w:lineRule="auto"/>
        <w:jc w:val="both"/>
        <w:rPr>
          <w:rFonts w:eastAsia="Calibri" w:cs="Times New Roman"/>
          <w:lang w:eastAsia="cs-CZ"/>
        </w:rPr>
      </w:pPr>
      <w:r w:rsidRPr="00617639">
        <w:rPr>
          <w:rFonts w:eastAsia="Calibri" w:cs="Times New Roman"/>
          <w:lang w:eastAsia="cs-CZ"/>
        </w:rPr>
        <w:t>D_02_01_01_021001_4_2_Podélný_profil_2TK,_km_259,30-261,00_upr1.pdf</w:t>
      </w:r>
    </w:p>
    <w:p w:rsidR="00F47412" w:rsidRPr="00617639" w:rsidRDefault="00F47412" w:rsidP="00F47412">
      <w:pPr>
        <w:spacing w:after="0" w:line="240" w:lineRule="auto"/>
        <w:jc w:val="both"/>
        <w:rPr>
          <w:rFonts w:eastAsia="Calibri" w:cs="Times New Roman"/>
          <w:lang w:eastAsia="cs-CZ"/>
        </w:rPr>
      </w:pPr>
      <w:r w:rsidRPr="00617639">
        <w:rPr>
          <w:rFonts w:eastAsia="Calibri" w:cs="Times New Roman"/>
          <w:lang w:eastAsia="cs-CZ"/>
        </w:rPr>
        <w:t>D_02_01_01_031001_2_1_Situace ŽSv,_km_260,40_-_262,00_upr1.pdf</w:t>
      </w:r>
    </w:p>
    <w:p w:rsidR="00F47412" w:rsidRPr="00617639" w:rsidRDefault="00F47412" w:rsidP="00F47412">
      <w:pPr>
        <w:spacing w:after="0" w:line="240" w:lineRule="auto"/>
        <w:jc w:val="both"/>
        <w:rPr>
          <w:rFonts w:eastAsia="Calibri" w:cs="Times New Roman"/>
          <w:lang w:eastAsia="cs-CZ"/>
        </w:rPr>
      </w:pPr>
      <w:r w:rsidRPr="00617639">
        <w:rPr>
          <w:rFonts w:eastAsia="Calibri" w:cs="Times New Roman"/>
          <w:lang w:eastAsia="cs-CZ"/>
        </w:rPr>
        <w:t>D_02_01_01_031001_3_1_Podélný_profil_1TK,_km_260,70_-_261,60_upr1.pdf</w:t>
      </w:r>
    </w:p>
    <w:p w:rsidR="00F47412" w:rsidRPr="00617639" w:rsidRDefault="00F47412" w:rsidP="00F47412">
      <w:pPr>
        <w:spacing w:after="0" w:line="240" w:lineRule="auto"/>
        <w:jc w:val="both"/>
        <w:rPr>
          <w:rFonts w:eastAsia="Calibri" w:cs="Times New Roman"/>
          <w:lang w:eastAsia="cs-CZ"/>
        </w:rPr>
      </w:pPr>
      <w:r w:rsidRPr="00617639">
        <w:rPr>
          <w:rFonts w:eastAsia="Calibri" w:cs="Times New Roman"/>
          <w:lang w:eastAsia="cs-CZ"/>
        </w:rPr>
        <w:t>D_02_01_01_031001_4_1_Podélný_profil_2TK,_km_260,70_-_261,60_upr1.pdf</w:t>
      </w:r>
    </w:p>
    <w:p w:rsidR="00F47412" w:rsidRPr="00617639" w:rsidRDefault="00F47412" w:rsidP="00F47412">
      <w:pPr>
        <w:spacing w:after="0" w:line="240" w:lineRule="auto"/>
        <w:jc w:val="both"/>
        <w:rPr>
          <w:rFonts w:eastAsia="Calibri" w:cs="Times New Roman"/>
          <w:lang w:eastAsia="cs-CZ"/>
        </w:rPr>
      </w:pPr>
      <w:r w:rsidRPr="00617639">
        <w:rPr>
          <w:rFonts w:eastAsia="Calibri" w:cs="Times New Roman"/>
          <w:lang w:eastAsia="cs-CZ"/>
        </w:rPr>
        <w:t>D_02_01_01_041001_2_1_Situace ŽSv,_km_261,40-262,30_upr1.pdf</w:t>
      </w:r>
    </w:p>
    <w:p w:rsidR="00F47412" w:rsidRPr="00617639" w:rsidRDefault="00F47412" w:rsidP="00F47412">
      <w:pPr>
        <w:spacing w:after="0" w:line="240" w:lineRule="auto"/>
        <w:jc w:val="both"/>
        <w:rPr>
          <w:rFonts w:eastAsia="Calibri" w:cs="Times New Roman"/>
          <w:lang w:eastAsia="cs-CZ"/>
        </w:rPr>
      </w:pPr>
      <w:r w:rsidRPr="00617639">
        <w:rPr>
          <w:rFonts w:eastAsia="Calibri" w:cs="Times New Roman"/>
          <w:lang w:eastAsia="cs-CZ"/>
        </w:rPr>
        <w:t>D_02_01_01_041001_3_1_Podélný_profil_1TK,_km_261,30_-_262,60_upr1.pdf</w:t>
      </w:r>
    </w:p>
    <w:p w:rsidR="00F47412" w:rsidRPr="00617639" w:rsidRDefault="00F47412" w:rsidP="00F47412">
      <w:pPr>
        <w:spacing w:after="0" w:line="240" w:lineRule="auto"/>
        <w:jc w:val="both"/>
        <w:rPr>
          <w:rFonts w:eastAsia="Calibri" w:cs="Times New Roman"/>
          <w:lang w:eastAsia="cs-CZ"/>
        </w:rPr>
      </w:pPr>
      <w:r w:rsidRPr="00617639">
        <w:rPr>
          <w:rFonts w:eastAsia="Calibri" w:cs="Times New Roman"/>
          <w:lang w:eastAsia="cs-CZ"/>
        </w:rPr>
        <w:t>D_02_01_01_041001_4_1_Podélný_profil_2TK,_km_261,20_-_262,50_upr1.pdf</w:t>
      </w:r>
    </w:p>
    <w:p w:rsidR="00F47412" w:rsidRPr="00617639" w:rsidRDefault="00F47412" w:rsidP="00F47412">
      <w:pPr>
        <w:spacing w:after="0" w:line="240" w:lineRule="auto"/>
        <w:jc w:val="both"/>
        <w:rPr>
          <w:rFonts w:eastAsia="Calibri" w:cs="Times New Roman"/>
          <w:lang w:eastAsia="cs-CZ"/>
        </w:rPr>
      </w:pPr>
      <w:r w:rsidRPr="00617639">
        <w:rPr>
          <w:rFonts w:eastAsia="Calibri" w:cs="Times New Roman"/>
          <w:lang w:eastAsia="cs-CZ"/>
        </w:rPr>
        <w:t>D_02_01_01_051001_11_VV_upr01.pdf</w:t>
      </w:r>
    </w:p>
    <w:p w:rsidR="00F47412" w:rsidRPr="00617639" w:rsidRDefault="00F47412" w:rsidP="00F47412">
      <w:pPr>
        <w:spacing w:after="0" w:line="240" w:lineRule="auto"/>
        <w:jc w:val="both"/>
        <w:rPr>
          <w:rFonts w:eastAsia="Calibri" w:cs="Times New Roman"/>
          <w:lang w:eastAsia="cs-CZ"/>
        </w:rPr>
      </w:pPr>
      <w:r w:rsidRPr="00617639">
        <w:rPr>
          <w:rFonts w:eastAsia="Calibri" w:cs="Times New Roman"/>
          <w:lang w:eastAsia="cs-CZ"/>
        </w:rPr>
        <w:lastRenderedPageBreak/>
        <w:t>PS050111_upr01.xlsm</w:t>
      </w:r>
    </w:p>
    <w:p w:rsidR="00F47412" w:rsidRPr="00617639" w:rsidRDefault="00F47412" w:rsidP="00F47412">
      <w:pPr>
        <w:spacing w:after="0" w:line="240" w:lineRule="auto"/>
        <w:jc w:val="both"/>
        <w:rPr>
          <w:rFonts w:eastAsia="Calibri" w:cs="Times New Roman"/>
          <w:lang w:eastAsia="cs-CZ"/>
        </w:rPr>
      </w:pPr>
      <w:r w:rsidRPr="00617639">
        <w:rPr>
          <w:rFonts w:eastAsia="Calibri" w:cs="Times New Roman"/>
          <w:lang w:eastAsia="cs-CZ"/>
        </w:rPr>
        <w:t>PS060121_upr01.xlsm</w:t>
      </w:r>
    </w:p>
    <w:p w:rsidR="00F47412" w:rsidRPr="00617639" w:rsidRDefault="00F47412" w:rsidP="00F47412">
      <w:pPr>
        <w:spacing w:after="0" w:line="240" w:lineRule="auto"/>
        <w:jc w:val="both"/>
        <w:rPr>
          <w:rFonts w:eastAsia="Calibri" w:cs="Times New Roman"/>
          <w:lang w:eastAsia="cs-CZ"/>
        </w:rPr>
      </w:pPr>
      <w:r w:rsidRPr="00617639">
        <w:rPr>
          <w:rFonts w:eastAsia="Calibri" w:cs="Times New Roman"/>
          <w:lang w:eastAsia="cs-CZ"/>
        </w:rPr>
        <w:t>SO031001_upr01.xlsm</w:t>
      </w:r>
    </w:p>
    <w:p w:rsidR="00F47412" w:rsidRPr="00617639" w:rsidRDefault="00F47412" w:rsidP="00F47412">
      <w:pPr>
        <w:spacing w:after="0" w:line="240" w:lineRule="auto"/>
        <w:jc w:val="both"/>
        <w:rPr>
          <w:rFonts w:eastAsia="Calibri" w:cs="Times New Roman"/>
          <w:lang w:eastAsia="cs-CZ"/>
        </w:rPr>
      </w:pPr>
      <w:r w:rsidRPr="00617639">
        <w:rPr>
          <w:rFonts w:eastAsia="Calibri" w:cs="Times New Roman"/>
          <w:lang w:eastAsia="cs-CZ"/>
        </w:rPr>
        <w:t>SO042002_upr01.xlsm</w:t>
      </w:r>
    </w:p>
    <w:p w:rsidR="00F47412" w:rsidRPr="00617639" w:rsidRDefault="00F47412" w:rsidP="00F47412">
      <w:pPr>
        <w:spacing w:after="0" w:line="240" w:lineRule="auto"/>
        <w:jc w:val="both"/>
        <w:rPr>
          <w:rFonts w:eastAsia="Calibri" w:cs="Times New Roman"/>
          <w:lang w:eastAsia="cs-CZ"/>
        </w:rPr>
      </w:pPr>
      <w:r w:rsidRPr="00617639">
        <w:rPr>
          <w:rFonts w:eastAsia="Calibri" w:cs="Times New Roman"/>
          <w:lang w:eastAsia="cs-CZ"/>
        </w:rPr>
        <w:t>SO042101_upr01.xlsm</w:t>
      </w:r>
    </w:p>
    <w:p w:rsidR="00F47412" w:rsidRPr="00617639" w:rsidRDefault="00F47412" w:rsidP="00F47412">
      <w:pPr>
        <w:spacing w:after="0" w:line="240" w:lineRule="auto"/>
        <w:jc w:val="both"/>
        <w:rPr>
          <w:rFonts w:eastAsia="Calibri" w:cs="Times New Roman"/>
          <w:lang w:eastAsia="cs-CZ"/>
        </w:rPr>
      </w:pPr>
      <w:r w:rsidRPr="00617639">
        <w:rPr>
          <w:rFonts w:eastAsia="Calibri" w:cs="Times New Roman"/>
          <w:lang w:eastAsia="cs-CZ"/>
        </w:rPr>
        <w:t>SO051001_upr01.xlsm</w:t>
      </w:r>
    </w:p>
    <w:p w:rsidR="00F47412" w:rsidRPr="00617639" w:rsidRDefault="00F47412" w:rsidP="00F47412">
      <w:pPr>
        <w:spacing w:after="0" w:line="240" w:lineRule="auto"/>
        <w:jc w:val="both"/>
        <w:rPr>
          <w:rFonts w:eastAsia="Calibri" w:cs="Times New Roman"/>
          <w:lang w:eastAsia="cs-CZ"/>
        </w:rPr>
      </w:pPr>
      <w:r w:rsidRPr="00617639">
        <w:rPr>
          <w:rFonts w:eastAsia="Calibri" w:cs="Times New Roman"/>
          <w:lang w:eastAsia="cs-CZ"/>
        </w:rPr>
        <w:t>SO052001_upr01.xlsm</w:t>
      </w:r>
    </w:p>
    <w:p w:rsidR="00F47412" w:rsidRPr="00617639" w:rsidRDefault="00F47412" w:rsidP="00F47412">
      <w:pPr>
        <w:spacing w:after="0" w:line="240" w:lineRule="auto"/>
        <w:jc w:val="both"/>
        <w:rPr>
          <w:rFonts w:eastAsia="Calibri" w:cs="Times New Roman"/>
          <w:lang w:eastAsia="cs-CZ"/>
        </w:rPr>
      </w:pPr>
      <w:r w:rsidRPr="00617639">
        <w:rPr>
          <w:rFonts w:eastAsia="Calibri" w:cs="Times New Roman"/>
          <w:lang w:eastAsia="cs-CZ"/>
        </w:rPr>
        <w:t>SO052005_upr01.xlsm</w:t>
      </w:r>
    </w:p>
    <w:p w:rsidR="00F47412" w:rsidRPr="00617639" w:rsidRDefault="00F47412" w:rsidP="00F47412">
      <w:pPr>
        <w:spacing w:after="0" w:line="240" w:lineRule="auto"/>
        <w:jc w:val="both"/>
        <w:rPr>
          <w:rFonts w:eastAsia="Calibri" w:cs="Times New Roman"/>
          <w:lang w:eastAsia="cs-CZ"/>
        </w:rPr>
      </w:pPr>
      <w:r w:rsidRPr="00617639">
        <w:rPr>
          <w:rFonts w:eastAsia="Calibri" w:cs="Times New Roman"/>
          <w:lang w:eastAsia="cs-CZ"/>
        </w:rPr>
        <w:t>SO055401_upr01.xlsm</w:t>
      </w:r>
    </w:p>
    <w:p w:rsidR="00BD5319" w:rsidRPr="00BD5319" w:rsidRDefault="00BD5319"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r w:rsidRPr="00F47412">
        <w:rPr>
          <w:rFonts w:eastAsia="Calibri" w:cs="Times New Roman"/>
          <w:lang w:eastAsia="cs-CZ"/>
        </w:rPr>
        <w:t>V Praze dne</w:t>
      </w:r>
      <w:r w:rsidRPr="00BD5319">
        <w:rPr>
          <w:rFonts w:eastAsia="Calibri" w:cs="Times New Roman"/>
          <w:lang w:eastAsia="cs-CZ"/>
        </w:rPr>
        <w:t xml:space="preserve"> </w:t>
      </w:r>
      <w:r w:rsidR="004F0136">
        <w:rPr>
          <w:rFonts w:eastAsia="Calibri" w:cs="Times New Roman"/>
          <w:lang w:eastAsia="cs-CZ"/>
        </w:rPr>
        <w:t>24. 7. 2020</w:t>
      </w:r>
    </w:p>
    <w:p w:rsidR="00BD5319" w:rsidRDefault="00BD5319" w:rsidP="00BD5319">
      <w:pPr>
        <w:spacing w:after="0" w:line="240" w:lineRule="auto"/>
        <w:jc w:val="both"/>
        <w:rPr>
          <w:rFonts w:eastAsia="Calibri" w:cs="Times New Roman"/>
          <w:lang w:eastAsia="cs-CZ"/>
        </w:rPr>
      </w:pPr>
    </w:p>
    <w:p w:rsidR="0065236A" w:rsidRDefault="0065236A" w:rsidP="00BD5319">
      <w:pPr>
        <w:spacing w:after="0" w:line="240" w:lineRule="auto"/>
        <w:jc w:val="both"/>
        <w:rPr>
          <w:rFonts w:eastAsia="Calibri" w:cs="Times New Roman"/>
          <w:lang w:eastAsia="cs-CZ"/>
        </w:rPr>
      </w:pPr>
    </w:p>
    <w:p w:rsidR="0065236A" w:rsidRPr="00BD5319" w:rsidRDefault="0065236A" w:rsidP="00BD5319">
      <w:pPr>
        <w:spacing w:after="0" w:line="240" w:lineRule="auto"/>
        <w:jc w:val="both"/>
        <w:rPr>
          <w:rFonts w:eastAsia="Calibri" w:cs="Times New Roman"/>
          <w:lang w:eastAsia="cs-CZ"/>
        </w:rPr>
      </w:pPr>
      <w:bookmarkStart w:id="2" w:name="_GoBack"/>
      <w:bookmarkEnd w:id="2"/>
    </w:p>
    <w:p w:rsidR="00BD5319" w:rsidRPr="00BD5319" w:rsidRDefault="00BD5319" w:rsidP="00BD5319">
      <w:pPr>
        <w:spacing w:after="0" w:line="240" w:lineRule="auto"/>
        <w:jc w:val="both"/>
        <w:rPr>
          <w:rFonts w:eastAsia="Calibri" w:cs="Times New Roman"/>
          <w:lang w:eastAsia="cs-CZ"/>
        </w:rPr>
      </w:pPr>
    </w:p>
    <w:p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Karel Švejda, MBA</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ředitel odboru investičního</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na základě „Pověření“ č. 2449</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ze dne 11. 5. 2018</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Správa</w:t>
      </w:r>
      <w:r w:rsidR="00E10710">
        <w:rPr>
          <w:rFonts w:eastAsia="Calibri" w:cs="Times New Roman"/>
          <w:lang w:eastAsia="cs-CZ"/>
        </w:rPr>
        <w:t xml:space="preserve"> železnic</w:t>
      </w:r>
      <w:r w:rsidRPr="00BD5319">
        <w:rPr>
          <w:rFonts w:eastAsia="Calibri" w:cs="Times New Roman"/>
          <w:lang w:eastAsia="cs-CZ"/>
        </w:rPr>
        <w:t>,</w:t>
      </w:r>
      <w:r w:rsidR="00E10710">
        <w:rPr>
          <w:rFonts w:eastAsia="Calibri" w:cs="Times New Roman"/>
          <w:lang w:eastAsia="cs-CZ"/>
        </w:rPr>
        <w:t xml:space="preserve"> </w:t>
      </w:r>
      <w:r w:rsidRPr="00BD5319">
        <w:rPr>
          <w:rFonts w:eastAsia="Calibri" w:cs="Times New Roman"/>
          <w:lang w:eastAsia="cs-CZ"/>
        </w:rPr>
        <w:t>státní organizace</w:t>
      </w:r>
    </w:p>
    <w:p w:rsidR="00BD5319" w:rsidRPr="00BD5319" w:rsidRDefault="00BD5319" w:rsidP="00BD5319">
      <w:pPr>
        <w:spacing w:after="0" w:line="240" w:lineRule="auto"/>
        <w:rPr>
          <w:rFonts w:eastAsia="Calibri" w:cs="Times New Roman"/>
          <w:lang w:eastAsia="cs-CZ"/>
        </w:rPr>
      </w:pPr>
    </w:p>
    <w:p w:rsidR="00BD5319" w:rsidRPr="00BD5319" w:rsidRDefault="00BD5319" w:rsidP="00BD5319">
      <w:pPr>
        <w:spacing w:after="0" w:line="240" w:lineRule="auto"/>
        <w:rPr>
          <w:rFonts w:eastAsia="Times New Roman" w:cs="Times New Roman"/>
          <w:b/>
          <w:bCs/>
          <w:lang w:eastAsia="cs-CZ"/>
        </w:rPr>
      </w:pPr>
    </w:p>
    <w:p w:rsidR="00BD5319" w:rsidRPr="00BD5319" w:rsidRDefault="00BD5319" w:rsidP="00BD5319">
      <w:pPr>
        <w:spacing w:after="0" w:line="240" w:lineRule="auto"/>
        <w:ind w:left="4961" w:firstLine="567"/>
        <w:jc w:val="center"/>
        <w:rPr>
          <w:rFonts w:ascii="Times New Roman" w:eastAsia="Times New Roman" w:hAnsi="Times New Roman" w:cs="Times New Roman"/>
          <w:sz w:val="22"/>
          <w:szCs w:val="22"/>
          <w:lang w:eastAsia="cs-CZ"/>
        </w:rPr>
      </w:pPr>
    </w:p>
    <w:p w:rsidR="00CB7B5A" w:rsidRPr="00CB7B5A" w:rsidRDefault="00CB7B5A" w:rsidP="00CB7B5A">
      <w:pPr>
        <w:spacing w:before="120" w:after="0" w:line="240" w:lineRule="auto"/>
        <w:rPr>
          <w:rFonts w:eastAsia="Calibri" w:cs="Times New Roman"/>
          <w:b/>
          <w:bCs/>
          <w:lang w:eastAsia="cs-CZ"/>
        </w:rPr>
      </w:pPr>
    </w:p>
    <w:sectPr w:rsidR="00CB7B5A" w:rsidRPr="00CB7B5A" w:rsidSect="002953B4">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236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5236A">
            <w:rPr>
              <w:rStyle w:val="slostrnky"/>
              <w:noProof/>
            </w:rPr>
            <w:t>7</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902547D" wp14:editId="79702DD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9BFA5B" wp14:editId="7DE0602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rsidTr="00F1715C">
      <w:tc>
        <w:tcPr>
          <w:tcW w:w="1361" w:type="dxa"/>
          <w:tcMar>
            <w:left w:w="0" w:type="dxa"/>
            <w:right w:w="0" w:type="dxa"/>
          </w:tcMar>
          <w:vAlign w:val="bottom"/>
        </w:tcPr>
        <w:p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236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5236A">
            <w:rPr>
              <w:rStyle w:val="slostrnky"/>
              <w:noProof/>
            </w:rPr>
            <w:t>7</w:t>
          </w:r>
          <w:r w:rsidRPr="00B8518B">
            <w:rPr>
              <w:rStyle w:val="slostrnky"/>
            </w:rPr>
            <w:fldChar w:fldCharType="end"/>
          </w:r>
        </w:p>
      </w:tc>
      <w:tc>
        <w:tcPr>
          <w:tcW w:w="3458" w:type="dxa"/>
          <w:shd w:val="clear" w:color="auto" w:fill="auto"/>
          <w:tcMar>
            <w:left w:w="0" w:type="dxa"/>
            <w:right w:w="0" w:type="dxa"/>
          </w:tcMar>
        </w:tcPr>
        <w:p w:rsidR="00712ED1" w:rsidRDefault="00712ED1" w:rsidP="00331004">
          <w:pPr>
            <w:pStyle w:val="Zpat"/>
          </w:pPr>
          <w:r>
            <w:t>Správa železnic, státní organizace</w:t>
          </w:r>
        </w:p>
        <w:p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rsidR="00712ED1" w:rsidRDefault="00712ED1" w:rsidP="00331004">
          <w:pPr>
            <w:pStyle w:val="Zpat"/>
          </w:pPr>
          <w:r>
            <w:t>Sídlo: Dlážděná 1003/7, 110 00 Praha 1</w:t>
          </w:r>
        </w:p>
        <w:p w:rsidR="00712ED1" w:rsidRDefault="00712ED1" w:rsidP="00331004">
          <w:pPr>
            <w:pStyle w:val="Zpat"/>
          </w:pPr>
          <w:r>
            <w:t>IČO: 709 94 234 DIČ: CZ 709 94 234</w:t>
          </w:r>
        </w:p>
        <w:p w:rsidR="00712ED1" w:rsidRDefault="00712ED1" w:rsidP="00331004">
          <w:pPr>
            <w:pStyle w:val="Zpat"/>
          </w:pPr>
          <w:r>
            <w:t>www.szdc.cz</w:t>
          </w:r>
        </w:p>
      </w:tc>
      <w:tc>
        <w:tcPr>
          <w:tcW w:w="2921" w:type="dxa"/>
        </w:tcPr>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712ED1" w:rsidRDefault="00712ED1" w:rsidP="00331004">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EC4FC97" wp14:editId="061AE89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1592053" wp14:editId="6339F09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23D4C17C" wp14:editId="340F7050">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4F5484BA" wp14:editId="7874C156">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22A046B" wp14:editId="10F8403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E046ADC"/>
    <w:multiLevelType w:val="hybridMultilevel"/>
    <w:tmpl w:val="FE34D9E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13E86630"/>
    <w:multiLevelType w:val="hybridMultilevel"/>
    <w:tmpl w:val="2D28CA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B972620"/>
    <w:multiLevelType w:val="hybridMultilevel"/>
    <w:tmpl w:val="8E0616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BF76403"/>
    <w:multiLevelType w:val="multilevel"/>
    <w:tmpl w:val="0D34D660"/>
    <w:numStyleLink w:val="ListBulletmultilevel"/>
  </w:abstractNum>
  <w:abstractNum w:abstractNumId="7">
    <w:nsid w:val="2CBA1C59"/>
    <w:multiLevelType w:val="hybridMultilevel"/>
    <w:tmpl w:val="624C5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4761EFC"/>
    <w:multiLevelType w:val="hybridMultilevel"/>
    <w:tmpl w:val="54CED5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70C4E57"/>
    <w:multiLevelType w:val="hybridMultilevel"/>
    <w:tmpl w:val="539607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1">
    <w:nsid w:val="4BAB2A34"/>
    <w:multiLevelType w:val="hybridMultilevel"/>
    <w:tmpl w:val="621E84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65006FAB"/>
    <w:multiLevelType w:val="hybridMultilevel"/>
    <w:tmpl w:val="98B849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4070991"/>
    <w:multiLevelType w:val="multilevel"/>
    <w:tmpl w:val="CABE99FC"/>
    <w:numStyleLink w:val="ListNumbermultilevel"/>
  </w:abstractNum>
  <w:num w:numId="1">
    <w:abstractNumId w:val="4"/>
  </w:num>
  <w:num w:numId="2">
    <w:abstractNumId w:val="1"/>
  </w:num>
  <w:num w:numId="3">
    <w:abstractNumId w:val="6"/>
  </w:num>
  <w:num w:numId="4">
    <w:abstractNumId w:val="13"/>
  </w:num>
  <w:num w:numId="5">
    <w:abstractNumId w:val="0"/>
  </w:num>
  <w:num w:numId="6">
    <w:abstractNumId w:val="1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8"/>
  </w:num>
  <w:num w:numId="10">
    <w:abstractNumId w:val="7"/>
  </w:num>
  <w:num w:numId="11">
    <w:abstractNumId w:val="12"/>
  </w:num>
  <w:num w:numId="12">
    <w:abstractNumId w:val="3"/>
  </w:num>
  <w:num w:numId="13">
    <w:abstractNumId w:val="9"/>
  </w:num>
  <w:num w:numId="1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2C1E"/>
    <w:rsid w:val="000B3A82"/>
    <w:rsid w:val="000B6C7E"/>
    <w:rsid w:val="000B7907"/>
    <w:rsid w:val="000C0429"/>
    <w:rsid w:val="000C45E8"/>
    <w:rsid w:val="00114472"/>
    <w:rsid w:val="001536AE"/>
    <w:rsid w:val="00170EC5"/>
    <w:rsid w:val="001747C1"/>
    <w:rsid w:val="0018596A"/>
    <w:rsid w:val="001B69C2"/>
    <w:rsid w:val="001C4DA0"/>
    <w:rsid w:val="00207DF5"/>
    <w:rsid w:val="00267369"/>
    <w:rsid w:val="0026785D"/>
    <w:rsid w:val="002953B4"/>
    <w:rsid w:val="002C31BF"/>
    <w:rsid w:val="002E0CD7"/>
    <w:rsid w:val="002F026B"/>
    <w:rsid w:val="00357BC6"/>
    <w:rsid w:val="0037111D"/>
    <w:rsid w:val="003756B9"/>
    <w:rsid w:val="003956C6"/>
    <w:rsid w:val="003C388D"/>
    <w:rsid w:val="003E6B9A"/>
    <w:rsid w:val="003E75CE"/>
    <w:rsid w:val="003E7BF6"/>
    <w:rsid w:val="00411C93"/>
    <w:rsid w:val="0041380F"/>
    <w:rsid w:val="00450F07"/>
    <w:rsid w:val="00453CD3"/>
    <w:rsid w:val="00455BC7"/>
    <w:rsid w:val="00460660"/>
    <w:rsid w:val="00460CCB"/>
    <w:rsid w:val="00477370"/>
    <w:rsid w:val="00486107"/>
    <w:rsid w:val="00491827"/>
    <w:rsid w:val="004926B0"/>
    <w:rsid w:val="004A7C69"/>
    <w:rsid w:val="004C4399"/>
    <w:rsid w:val="004C69ED"/>
    <w:rsid w:val="004C787C"/>
    <w:rsid w:val="004F0136"/>
    <w:rsid w:val="004F4B9B"/>
    <w:rsid w:val="00501654"/>
    <w:rsid w:val="00511AB9"/>
    <w:rsid w:val="00523EA7"/>
    <w:rsid w:val="00542527"/>
    <w:rsid w:val="00551D1F"/>
    <w:rsid w:val="00553375"/>
    <w:rsid w:val="005658A6"/>
    <w:rsid w:val="00570591"/>
    <w:rsid w:val="005720E7"/>
    <w:rsid w:val="005722BB"/>
    <w:rsid w:val="005736B7"/>
    <w:rsid w:val="00575E5A"/>
    <w:rsid w:val="00584E2A"/>
    <w:rsid w:val="00596C7E"/>
    <w:rsid w:val="005A3176"/>
    <w:rsid w:val="005A64E9"/>
    <w:rsid w:val="005B5EE9"/>
    <w:rsid w:val="006104F6"/>
    <w:rsid w:val="0061068E"/>
    <w:rsid w:val="00617639"/>
    <w:rsid w:val="0065236A"/>
    <w:rsid w:val="00660AD3"/>
    <w:rsid w:val="006A5570"/>
    <w:rsid w:val="006A689C"/>
    <w:rsid w:val="006B3D79"/>
    <w:rsid w:val="006E0578"/>
    <w:rsid w:val="006E314D"/>
    <w:rsid w:val="006E7F06"/>
    <w:rsid w:val="00710723"/>
    <w:rsid w:val="00712ED1"/>
    <w:rsid w:val="00723ED1"/>
    <w:rsid w:val="00735ED4"/>
    <w:rsid w:val="00743525"/>
    <w:rsid w:val="007531A0"/>
    <w:rsid w:val="0076286B"/>
    <w:rsid w:val="00764595"/>
    <w:rsid w:val="00766846"/>
    <w:rsid w:val="00775DB3"/>
    <w:rsid w:val="0077673A"/>
    <w:rsid w:val="007846E1"/>
    <w:rsid w:val="007B570C"/>
    <w:rsid w:val="007E4A6E"/>
    <w:rsid w:val="007F56A7"/>
    <w:rsid w:val="0080744A"/>
    <w:rsid w:val="00807DD0"/>
    <w:rsid w:val="00813F11"/>
    <w:rsid w:val="00871912"/>
    <w:rsid w:val="00891334"/>
    <w:rsid w:val="008A3568"/>
    <w:rsid w:val="008D03B9"/>
    <w:rsid w:val="008F18D6"/>
    <w:rsid w:val="00904780"/>
    <w:rsid w:val="009113A8"/>
    <w:rsid w:val="00922385"/>
    <w:rsid w:val="009223DF"/>
    <w:rsid w:val="00926D5E"/>
    <w:rsid w:val="00936091"/>
    <w:rsid w:val="00940D8A"/>
    <w:rsid w:val="00962258"/>
    <w:rsid w:val="009678B7"/>
    <w:rsid w:val="00982411"/>
    <w:rsid w:val="00992D9C"/>
    <w:rsid w:val="00996CB8"/>
    <w:rsid w:val="009A7568"/>
    <w:rsid w:val="009B2E97"/>
    <w:rsid w:val="009B3C69"/>
    <w:rsid w:val="009B72CC"/>
    <w:rsid w:val="009E07F4"/>
    <w:rsid w:val="009F392E"/>
    <w:rsid w:val="00A44328"/>
    <w:rsid w:val="00A6177B"/>
    <w:rsid w:val="00A66136"/>
    <w:rsid w:val="00AA4CBB"/>
    <w:rsid w:val="00AA65FA"/>
    <w:rsid w:val="00AA7351"/>
    <w:rsid w:val="00AD056F"/>
    <w:rsid w:val="00AD2773"/>
    <w:rsid w:val="00AD6731"/>
    <w:rsid w:val="00AE1DDE"/>
    <w:rsid w:val="00B15B5E"/>
    <w:rsid w:val="00B15D0D"/>
    <w:rsid w:val="00B23CA3"/>
    <w:rsid w:val="00B3491A"/>
    <w:rsid w:val="00B44B40"/>
    <w:rsid w:val="00B45E9E"/>
    <w:rsid w:val="00B55F9C"/>
    <w:rsid w:val="00B75EE1"/>
    <w:rsid w:val="00B77481"/>
    <w:rsid w:val="00B8518B"/>
    <w:rsid w:val="00BB3740"/>
    <w:rsid w:val="00BD5319"/>
    <w:rsid w:val="00BD7E91"/>
    <w:rsid w:val="00BF374D"/>
    <w:rsid w:val="00BF6D48"/>
    <w:rsid w:val="00C02D0A"/>
    <w:rsid w:val="00C03A6E"/>
    <w:rsid w:val="00C30759"/>
    <w:rsid w:val="00C44F6A"/>
    <w:rsid w:val="00C727E5"/>
    <w:rsid w:val="00C8207D"/>
    <w:rsid w:val="00CB7B5A"/>
    <w:rsid w:val="00CC1E2B"/>
    <w:rsid w:val="00CD1FC4"/>
    <w:rsid w:val="00CE371D"/>
    <w:rsid w:val="00D02A4D"/>
    <w:rsid w:val="00D21061"/>
    <w:rsid w:val="00D316A7"/>
    <w:rsid w:val="00D36EA8"/>
    <w:rsid w:val="00D4108E"/>
    <w:rsid w:val="00D6163D"/>
    <w:rsid w:val="00D63009"/>
    <w:rsid w:val="00D831A3"/>
    <w:rsid w:val="00D902AD"/>
    <w:rsid w:val="00DA6FFE"/>
    <w:rsid w:val="00DC3110"/>
    <w:rsid w:val="00DD46F3"/>
    <w:rsid w:val="00DD58A6"/>
    <w:rsid w:val="00DE56F2"/>
    <w:rsid w:val="00DF116D"/>
    <w:rsid w:val="00E10710"/>
    <w:rsid w:val="00E824F1"/>
    <w:rsid w:val="00E96A99"/>
    <w:rsid w:val="00EB104F"/>
    <w:rsid w:val="00ED14BD"/>
    <w:rsid w:val="00F01440"/>
    <w:rsid w:val="00F12DEC"/>
    <w:rsid w:val="00F1715C"/>
    <w:rsid w:val="00F310F8"/>
    <w:rsid w:val="00F35939"/>
    <w:rsid w:val="00F45607"/>
    <w:rsid w:val="00F47412"/>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83119653">
      <w:bodyDiv w:val="1"/>
      <w:marLeft w:val="0"/>
      <w:marRight w:val="0"/>
      <w:marTop w:val="0"/>
      <w:marBottom w:val="0"/>
      <w:divBdr>
        <w:top w:val="none" w:sz="0" w:space="0" w:color="auto"/>
        <w:left w:val="none" w:sz="0" w:space="0" w:color="auto"/>
        <w:bottom w:val="none" w:sz="0" w:space="0" w:color="auto"/>
        <w:right w:val="none" w:sz="0" w:space="0" w:color="auto"/>
      </w:divBdr>
    </w:div>
    <w:div w:id="326327818">
      <w:bodyDiv w:val="1"/>
      <w:marLeft w:val="0"/>
      <w:marRight w:val="0"/>
      <w:marTop w:val="0"/>
      <w:marBottom w:val="0"/>
      <w:divBdr>
        <w:top w:val="none" w:sz="0" w:space="0" w:color="auto"/>
        <w:left w:val="none" w:sz="0" w:space="0" w:color="auto"/>
        <w:bottom w:val="none" w:sz="0" w:space="0" w:color="auto"/>
        <w:right w:val="none" w:sz="0" w:space="0" w:color="auto"/>
      </w:divBdr>
    </w:div>
    <w:div w:id="683475823">
      <w:bodyDiv w:val="1"/>
      <w:marLeft w:val="0"/>
      <w:marRight w:val="0"/>
      <w:marTop w:val="0"/>
      <w:marBottom w:val="0"/>
      <w:divBdr>
        <w:top w:val="none" w:sz="0" w:space="0" w:color="auto"/>
        <w:left w:val="none" w:sz="0" w:space="0" w:color="auto"/>
        <w:bottom w:val="none" w:sz="0" w:space="0" w:color="auto"/>
        <w:right w:val="none" w:sz="0" w:space="0" w:color="auto"/>
      </w:divBdr>
    </w:div>
    <w:div w:id="1017579600">
      <w:bodyDiv w:val="1"/>
      <w:marLeft w:val="0"/>
      <w:marRight w:val="0"/>
      <w:marTop w:val="0"/>
      <w:marBottom w:val="0"/>
      <w:divBdr>
        <w:top w:val="none" w:sz="0" w:space="0" w:color="auto"/>
        <w:left w:val="none" w:sz="0" w:space="0" w:color="auto"/>
        <w:bottom w:val="none" w:sz="0" w:space="0" w:color="auto"/>
        <w:right w:val="none" w:sz="0" w:space="0" w:color="auto"/>
      </w:divBdr>
    </w:div>
    <w:div w:id="111713595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15744593">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83972027">
      <w:bodyDiv w:val="1"/>
      <w:marLeft w:val="0"/>
      <w:marRight w:val="0"/>
      <w:marTop w:val="0"/>
      <w:marBottom w:val="0"/>
      <w:divBdr>
        <w:top w:val="none" w:sz="0" w:space="0" w:color="auto"/>
        <w:left w:val="none" w:sz="0" w:space="0" w:color="auto"/>
        <w:bottom w:val="none" w:sz="0" w:space="0" w:color="auto"/>
        <w:right w:val="none" w:sz="0" w:space="0" w:color="auto"/>
      </w:divBdr>
    </w:div>
    <w:div w:id="1746757460">
      <w:bodyDiv w:val="1"/>
      <w:marLeft w:val="0"/>
      <w:marRight w:val="0"/>
      <w:marTop w:val="0"/>
      <w:marBottom w:val="0"/>
      <w:divBdr>
        <w:top w:val="none" w:sz="0" w:space="0" w:color="auto"/>
        <w:left w:val="none" w:sz="0" w:space="0" w:color="auto"/>
        <w:bottom w:val="none" w:sz="0" w:space="0" w:color="auto"/>
        <w:right w:val="none" w:sz="0" w:space="0" w:color="auto"/>
      </w:divBdr>
    </w:div>
    <w:div w:id="1760179105">
      <w:bodyDiv w:val="1"/>
      <w:marLeft w:val="0"/>
      <w:marRight w:val="0"/>
      <w:marTop w:val="0"/>
      <w:marBottom w:val="0"/>
      <w:divBdr>
        <w:top w:val="none" w:sz="0" w:space="0" w:color="auto"/>
        <w:left w:val="none" w:sz="0" w:space="0" w:color="auto"/>
        <w:bottom w:val="none" w:sz="0" w:space="0" w:color="auto"/>
        <w:right w:val="none" w:sz="0" w:space="0" w:color="auto"/>
      </w:divBdr>
    </w:div>
    <w:div w:id="18634746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vestnikverejnychzakaze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235059D-3EB8-4DBA-83E2-247592828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59</TotalTime>
  <Pages>7</Pages>
  <Words>2525</Words>
  <Characters>14902</Characters>
  <Application>Microsoft Office Word</Application>
  <DocSecurity>0</DocSecurity>
  <Lines>124</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17393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10</cp:revision>
  <cp:lastPrinted>2019-02-22T13:28:00Z</cp:lastPrinted>
  <dcterms:created xsi:type="dcterms:W3CDTF">2020-07-21T11:02:00Z</dcterms:created>
  <dcterms:modified xsi:type="dcterms:W3CDTF">2020-07-24T07:59:00Z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