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B60E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FB60E5">
        <w:rPr>
          <w:rFonts w:ascii="Verdana" w:hAnsi="Verdana"/>
          <w:b/>
          <w:sz w:val="18"/>
          <w:szCs w:val="18"/>
        </w:rPr>
        <w:t>Oprava napájecích zdrojů</w:t>
      </w:r>
      <w:r w:rsidR="00FB60E5">
        <w:rPr>
          <w:rFonts w:ascii="Verdana" w:hAnsi="Verdana"/>
          <w:sz w:val="18"/>
          <w:szCs w:val="18"/>
        </w:rPr>
        <w:t xml:space="preserve"> </w:t>
      </w:r>
      <w:r w:rsidR="00FB60E5">
        <w:rPr>
          <w:rFonts w:ascii="Verdana" w:hAnsi="Verdana"/>
          <w:b/>
          <w:sz w:val="18"/>
          <w:szCs w:val="18"/>
        </w:rPr>
        <w:t>v obvodu SSZT Ústí n. L.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60E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60E5" w:rsidRPr="00FB60E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60E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60E5" w:rsidRPr="00FB60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60E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E09A79"/>
  <w15:docId w15:val="{1E7C5531-474B-4F7D-B494-4489A1EA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9745F-13E5-4552-B09B-23814121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2020-07-16T16:50:00Z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