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011EF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7F6E2A">
        <w:rPr>
          <w:lang w:eastAsia="cs-CZ"/>
        </w:rPr>
        <w:t xml:space="preserve">nabídku na podlimitní sektorovou veřejnou zakázku s názvem </w:t>
      </w:r>
      <w:bookmarkStart w:id="0" w:name="_Toc403053768"/>
      <w:r w:rsidRPr="007F6E2A">
        <w:rPr>
          <w:b/>
          <w:lang w:eastAsia="cs-CZ"/>
        </w:rPr>
        <w:t>„</w:t>
      </w:r>
      <w:bookmarkEnd w:id="0"/>
      <w:r w:rsidR="00A32488" w:rsidRPr="00A32488">
        <w:rPr>
          <w:b/>
          <w:lang w:eastAsia="cs-CZ"/>
        </w:rPr>
        <w:t>Dodání proudového zdroje na testování ochran</w:t>
      </w:r>
      <w:bookmarkStart w:id="1" w:name="_GoBack"/>
      <w:bookmarkEnd w:id="1"/>
      <w:r>
        <w:rPr>
          <w:b/>
          <w:lang w:eastAsia="cs-CZ"/>
        </w:rPr>
        <w:t>“</w:t>
      </w:r>
      <w:r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24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24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11EF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2F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E2A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488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7B166-1F66-4BE9-BE40-BC88F8B0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2020-01-22T08:42:00Z</dcterms:created>
  <dcterms:modified xsi:type="dcterms:W3CDTF">2020-07-02T08:05:00Z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