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1650A" w:rsidRPr="0061650A">
        <w:rPr>
          <w:rFonts w:ascii="Verdana" w:hAnsi="Verdana"/>
          <w:sz w:val="18"/>
          <w:szCs w:val="18"/>
          <w:lang w:val="en-US"/>
        </w:rPr>
        <w:t>Oprava staničních kolejí v žst. St. Boleslav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E18" w:rsidRDefault="008F2E18">
      <w:r>
        <w:separator/>
      </w:r>
    </w:p>
  </w:endnote>
  <w:endnote w:type="continuationSeparator" w:id="0">
    <w:p w:rsidR="008F2E18" w:rsidRDefault="008F2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1650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1650A" w:rsidRPr="006165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E18" w:rsidRDefault="008F2E18">
      <w:r>
        <w:separator/>
      </w:r>
    </w:p>
  </w:footnote>
  <w:footnote w:type="continuationSeparator" w:id="0">
    <w:p w:rsidR="008F2E18" w:rsidRDefault="008F2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650A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2E18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163B35"/>
  <w15:docId w15:val="{1F0106AF-CE57-4E6C-82E6-0E54AA8DC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A4D42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289563-DD56-4A50-AEE3-38F47D54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2020-06-24T10:49:00Z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