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D239E" w:rsidRPr="00BD239E">
        <w:rPr>
          <w:rFonts w:ascii="Verdana" w:hAnsi="Verdana"/>
          <w:sz w:val="18"/>
          <w:szCs w:val="18"/>
          <w:lang w:val="en-US"/>
        </w:rPr>
        <w:t>Oprava staničních kolejí v žst. St. Boleslav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0FB" w:rsidRDefault="009720FB">
      <w:r>
        <w:separator/>
      </w:r>
    </w:p>
  </w:endnote>
  <w:endnote w:type="continuationSeparator" w:id="0">
    <w:p w:rsidR="009720FB" w:rsidRDefault="0097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D23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239E" w:rsidRPr="00BD23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0FB" w:rsidRDefault="009720FB">
      <w:r>
        <w:separator/>
      </w:r>
    </w:p>
  </w:footnote>
  <w:footnote w:type="continuationSeparator" w:id="0">
    <w:p w:rsidR="009720FB" w:rsidRDefault="00972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20FB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39E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A478AF"/>
  <w15:docId w15:val="{FC2B4508-34D3-4617-8939-5B348784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726827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53634E-7A93-4ED9-9906-07B8B0C1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2018-11-26T13:17:00Z</dcterms:created>
  <dcterms:modified xsi:type="dcterms:W3CDTF">2020-06-24T10:48:00Z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