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1570"/>
        <w:gridCol w:w="7424"/>
        <w:gridCol w:w="914"/>
      </w:tblGrid>
      <w:tr w:rsidR="005E6F88" w:rsidRPr="00B55DFF" w:rsidTr="009F08CB">
        <w:trPr>
          <w:trHeight w:val="1248"/>
        </w:trPr>
        <w:tc>
          <w:tcPr>
            <w:tcW w:w="1570" w:type="dxa"/>
            <w:tcBorders>
              <w:top w:val="single" w:sz="16" w:space="0" w:color="auto"/>
              <w:left w:val="single" w:sz="16" w:space="0" w:color="auto"/>
              <w:bottom w:val="single" w:sz="16" w:space="0" w:color="auto"/>
              <w:right w:val="nil"/>
            </w:tcBorders>
          </w:tcPr>
          <w:p w:rsidR="005E6F88" w:rsidRPr="00B55DFF" w:rsidRDefault="00B6649A" w:rsidP="00A9659C">
            <w:pPr>
              <w:ind w:firstLine="0"/>
              <w:rPr>
                <w:rFonts w:cs="Arial"/>
                <w:b/>
                <w:bCs/>
                <w:szCs w:val="22"/>
              </w:rPr>
            </w:pPr>
            <w:r w:rsidRPr="00B2641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74428</wp:posOffset>
                  </wp:positionH>
                  <wp:positionV relativeFrom="paragraph">
                    <wp:posOffset>65092</wp:posOffset>
                  </wp:positionV>
                  <wp:extent cx="673100" cy="673100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424" w:type="dxa"/>
            <w:tcBorders>
              <w:top w:val="single" w:sz="16" w:space="0" w:color="auto"/>
              <w:left w:val="single" w:sz="8" w:space="0" w:color="auto"/>
              <w:bottom w:val="single" w:sz="16" w:space="0" w:color="auto"/>
              <w:right w:val="nil"/>
            </w:tcBorders>
          </w:tcPr>
          <w:p w:rsidR="005E6F88" w:rsidRPr="002D74FE" w:rsidRDefault="005E6F88" w:rsidP="009F08CB">
            <w:pPr>
              <w:pStyle w:val="Bezmezer"/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 w:rsidRPr="002D74F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A1 spol. s r.o., </w:t>
            </w:r>
            <w:r w:rsidRPr="002D74FE">
              <w:rPr>
                <w:rFonts w:ascii="Arial" w:hAnsi="Arial" w:cs="Arial"/>
                <w:sz w:val="22"/>
                <w:szCs w:val="22"/>
              </w:rPr>
              <w:t>architektonická, projektová a inženýrská činnost</w:t>
            </w:r>
          </w:p>
          <w:p w:rsidR="005E6F88" w:rsidRPr="002D74FE" w:rsidRDefault="005E6F88" w:rsidP="009F08CB">
            <w:pPr>
              <w:pStyle w:val="Bezmezer"/>
              <w:spacing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74FE">
              <w:rPr>
                <w:rFonts w:ascii="Arial" w:hAnsi="Arial" w:cs="Arial"/>
                <w:b/>
                <w:bCs/>
                <w:sz w:val="22"/>
                <w:szCs w:val="22"/>
              </w:rPr>
              <w:t>Nová 1997/24</w:t>
            </w:r>
          </w:p>
          <w:p w:rsidR="005E6F88" w:rsidRPr="002D74FE" w:rsidRDefault="005E6F88" w:rsidP="009F08CB">
            <w:pPr>
              <w:pStyle w:val="Bezmezer"/>
              <w:spacing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74FE">
              <w:rPr>
                <w:rFonts w:ascii="Arial" w:hAnsi="Arial" w:cs="Arial"/>
                <w:b/>
                <w:bCs/>
                <w:sz w:val="22"/>
                <w:szCs w:val="22"/>
              </w:rPr>
              <w:t>370 01 České Budějovice</w:t>
            </w:r>
          </w:p>
          <w:p w:rsidR="005E6F88" w:rsidRPr="00B55DFF" w:rsidRDefault="005E6F88" w:rsidP="009F08CB">
            <w:pPr>
              <w:pStyle w:val="Bezmezer"/>
              <w:spacing w:line="288" w:lineRule="auto"/>
              <w:rPr>
                <w:b/>
                <w:bCs/>
              </w:rPr>
            </w:pPr>
            <w:r w:rsidRPr="002D74FE">
              <w:rPr>
                <w:rFonts w:ascii="Arial" w:hAnsi="Arial" w:cs="Arial"/>
                <w:sz w:val="22"/>
                <w:szCs w:val="22"/>
              </w:rPr>
              <w:t>tel.: 725 721 025, e-mail: adler@arch-pro.cz</w:t>
            </w:r>
          </w:p>
        </w:tc>
        <w:tc>
          <w:tcPr>
            <w:tcW w:w="914" w:type="dxa"/>
            <w:tcBorders>
              <w:top w:val="single" w:sz="16" w:space="0" w:color="auto"/>
              <w:left w:val="nil"/>
              <w:bottom w:val="single" w:sz="16" w:space="0" w:color="auto"/>
              <w:right w:val="single" w:sz="16" w:space="0" w:color="auto"/>
            </w:tcBorders>
          </w:tcPr>
          <w:p w:rsidR="005E6F88" w:rsidRPr="00B55DFF" w:rsidRDefault="005E6F88" w:rsidP="005F2145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:rsidR="00BD6734" w:rsidRPr="002B5A68" w:rsidRDefault="000C56AD" w:rsidP="00BD6734">
      <w:pPr>
        <w:spacing w:before="1080" w:after="1320"/>
        <w:ind w:firstLine="0"/>
        <w:jc w:val="center"/>
        <w:rPr>
          <w:rFonts w:ascii="Impact" w:hAnsi="Impact"/>
          <w:sz w:val="48"/>
          <w:szCs w:val="48"/>
          <w:u w:val="single"/>
        </w:rPr>
      </w:pPr>
      <w:r w:rsidRPr="00D40454">
        <w:rPr>
          <w:rFonts w:ascii="Impact" w:hAnsi="Impact"/>
          <w:kern w:val="28"/>
          <w:sz w:val="48"/>
          <w:szCs w:val="48"/>
          <w:u w:val="single"/>
        </w:rPr>
        <w:t xml:space="preserve">Udržovací práce na objektu výpravní budovy s č. p. 29 na st. p. č. 865, v </w:t>
      </w:r>
      <w:proofErr w:type="spellStart"/>
      <w:proofErr w:type="gramStart"/>
      <w:r w:rsidRPr="00D40454">
        <w:rPr>
          <w:rFonts w:ascii="Impact" w:hAnsi="Impact"/>
          <w:kern w:val="28"/>
          <w:sz w:val="48"/>
          <w:szCs w:val="48"/>
          <w:u w:val="single"/>
        </w:rPr>
        <w:t>k.ú</w:t>
      </w:r>
      <w:proofErr w:type="spellEnd"/>
      <w:r w:rsidRPr="00D40454">
        <w:rPr>
          <w:rFonts w:ascii="Impact" w:hAnsi="Impact"/>
          <w:kern w:val="28"/>
          <w:sz w:val="48"/>
          <w:szCs w:val="48"/>
          <w:u w:val="single"/>
        </w:rPr>
        <w:t>.</w:t>
      </w:r>
      <w:proofErr w:type="gramEnd"/>
      <w:r w:rsidRPr="00D40454">
        <w:rPr>
          <w:rFonts w:ascii="Impact" w:hAnsi="Impact"/>
          <w:kern w:val="28"/>
          <w:sz w:val="48"/>
          <w:szCs w:val="48"/>
          <w:u w:val="single"/>
        </w:rPr>
        <w:t xml:space="preserve"> Nová Ves u ČB</w:t>
      </w:r>
    </w:p>
    <w:p w:rsidR="009F08CB" w:rsidRPr="00664838" w:rsidRDefault="009F08CB" w:rsidP="009F08CB">
      <w:pPr>
        <w:pStyle w:val="Bezmezer"/>
        <w:jc w:val="center"/>
        <w:rPr>
          <w:rFonts w:ascii="Impact" w:hAnsi="Impact"/>
          <w:sz w:val="40"/>
          <w:szCs w:val="40"/>
        </w:rPr>
      </w:pPr>
      <w:r w:rsidRPr="00664838">
        <w:rPr>
          <w:rFonts w:ascii="Impact" w:hAnsi="Impact"/>
          <w:sz w:val="40"/>
          <w:szCs w:val="40"/>
        </w:rPr>
        <w:t xml:space="preserve">DOKUMENTACE </w:t>
      </w:r>
      <w:r w:rsidR="006C3C8C" w:rsidRPr="00664838">
        <w:rPr>
          <w:rFonts w:ascii="Impact" w:hAnsi="Impact"/>
          <w:sz w:val="40"/>
          <w:szCs w:val="40"/>
        </w:rPr>
        <w:t xml:space="preserve">PRO </w:t>
      </w:r>
      <w:r w:rsidR="00BE3F76">
        <w:rPr>
          <w:rFonts w:ascii="Impact" w:hAnsi="Impact"/>
          <w:sz w:val="40"/>
          <w:szCs w:val="40"/>
        </w:rPr>
        <w:t>PROVÁDĚNÍ STAVBY</w:t>
      </w:r>
    </w:p>
    <w:p w:rsidR="009F08CB" w:rsidRPr="00026815" w:rsidRDefault="009F08CB" w:rsidP="009F08CB">
      <w:pPr>
        <w:pStyle w:val="Bezmezer"/>
        <w:jc w:val="center"/>
        <w:rPr>
          <w:rFonts w:ascii="Arial Narrow" w:hAnsi="Arial Narrow"/>
          <w:sz w:val="22"/>
          <w:szCs w:val="22"/>
        </w:rPr>
      </w:pPr>
      <w:r w:rsidRPr="00026815">
        <w:rPr>
          <w:rFonts w:ascii="Arial Narrow" w:hAnsi="Arial Narrow"/>
          <w:sz w:val="22"/>
          <w:szCs w:val="22"/>
        </w:rPr>
        <w:t xml:space="preserve">dle přílohy č. </w:t>
      </w:r>
      <w:r w:rsidR="000C56AD">
        <w:rPr>
          <w:rFonts w:ascii="Arial Narrow" w:hAnsi="Arial Narrow"/>
          <w:sz w:val="22"/>
          <w:szCs w:val="22"/>
          <w:u w:val="single"/>
        </w:rPr>
        <w:t>13</w:t>
      </w:r>
      <w:r w:rsidRPr="00026815">
        <w:rPr>
          <w:rFonts w:ascii="Arial Narrow" w:hAnsi="Arial Narrow"/>
          <w:sz w:val="22"/>
          <w:szCs w:val="22"/>
        </w:rPr>
        <w:t xml:space="preserve"> k </w:t>
      </w:r>
      <w:proofErr w:type="spellStart"/>
      <w:r w:rsidRPr="00026815">
        <w:rPr>
          <w:rFonts w:ascii="Arial Narrow" w:hAnsi="Arial Narrow"/>
          <w:sz w:val="22"/>
          <w:szCs w:val="22"/>
        </w:rPr>
        <w:t>vyhl</w:t>
      </w:r>
      <w:proofErr w:type="spellEnd"/>
      <w:r w:rsidRPr="00026815">
        <w:rPr>
          <w:rFonts w:ascii="Arial Narrow" w:hAnsi="Arial Narrow"/>
          <w:sz w:val="22"/>
          <w:szCs w:val="22"/>
        </w:rPr>
        <w:t>. č. 4</w:t>
      </w:r>
      <w:r w:rsidR="004D7513" w:rsidRPr="00026815">
        <w:rPr>
          <w:rFonts w:ascii="Arial Narrow" w:hAnsi="Arial Narrow"/>
          <w:sz w:val="22"/>
          <w:szCs w:val="22"/>
        </w:rPr>
        <w:t>05/2017</w:t>
      </w:r>
      <w:r w:rsidRPr="00026815">
        <w:rPr>
          <w:rFonts w:ascii="Arial Narrow" w:hAnsi="Arial Narrow"/>
          <w:sz w:val="22"/>
          <w:szCs w:val="22"/>
        </w:rPr>
        <w:t xml:space="preserve"> ve znění </w:t>
      </w:r>
      <w:proofErr w:type="spellStart"/>
      <w:r w:rsidRPr="00026815">
        <w:rPr>
          <w:rFonts w:ascii="Arial Narrow" w:hAnsi="Arial Narrow"/>
          <w:sz w:val="22"/>
          <w:szCs w:val="22"/>
        </w:rPr>
        <w:t>vyhl</w:t>
      </w:r>
      <w:proofErr w:type="spellEnd"/>
      <w:r w:rsidRPr="00026815">
        <w:rPr>
          <w:rFonts w:ascii="Arial Narrow" w:hAnsi="Arial Narrow"/>
          <w:sz w:val="22"/>
          <w:szCs w:val="22"/>
        </w:rPr>
        <w:t>. č. 62/2013 Sb.</w:t>
      </w:r>
    </w:p>
    <w:p w:rsidR="005650D1" w:rsidRPr="005650D1" w:rsidRDefault="00FD5261" w:rsidP="005650D1">
      <w:pPr>
        <w:pStyle w:val="Nadpis1"/>
        <w:spacing w:after="480"/>
      </w:pPr>
      <w:bookmarkStart w:id="0" w:name="_Toc510707786"/>
      <w:r>
        <w:t>SOUHRNNÁ TECHNICKÁ ZPRÁVA</w:t>
      </w:r>
      <w:bookmarkEnd w:id="0"/>
      <w:r w:rsidR="005650D1">
        <w:rPr>
          <w:rFonts w:ascii="Arial" w:hAnsi="Arial" w:cs="Arial"/>
          <w:sz w:val="22"/>
          <w:szCs w:val="22"/>
        </w:rPr>
        <w:fldChar w:fldCharType="begin"/>
      </w:r>
      <w:r w:rsidR="005650D1" w:rsidRPr="005650D1">
        <w:rPr>
          <w:rFonts w:ascii="Arial" w:hAnsi="Arial" w:cs="Arial"/>
          <w:sz w:val="22"/>
          <w:szCs w:val="22"/>
        </w:rPr>
        <w:instrText xml:space="preserve"> TOC \o "1-2" \n \h \z \u </w:instrText>
      </w:r>
      <w:r w:rsidR="005650D1">
        <w:rPr>
          <w:rFonts w:ascii="Arial" w:hAnsi="Arial" w:cs="Arial"/>
          <w:sz w:val="22"/>
          <w:szCs w:val="22"/>
        </w:rPr>
        <w:fldChar w:fldCharType="separate"/>
      </w:r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87" w:history="1">
        <w:r w:rsidR="005650D1" w:rsidRPr="00CD4E38">
          <w:rPr>
            <w:rStyle w:val="Hypertextovodkaz"/>
            <w:noProof/>
          </w:rPr>
          <w:t>B.1. Popis území stavby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88" w:history="1">
        <w:r w:rsidR="005650D1" w:rsidRPr="00CD4E38">
          <w:rPr>
            <w:rStyle w:val="Hypertextovodkaz"/>
            <w:noProof/>
          </w:rPr>
          <w:t>B.2. Celkový popis stavby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89" w:history="1">
        <w:r w:rsidR="005650D1" w:rsidRPr="00CD4E38">
          <w:rPr>
            <w:rStyle w:val="Hypertextovodkaz"/>
            <w:noProof/>
          </w:rPr>
          <w:t>B.3. Připojení na technickou infrastrukturu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0" w:history="1">
        <w:r w:rsidR="005650D1" w:rsidRPr="00CD4E38">
          <w:rPr>
            <w:rStyle w:val="Hypertextovodkaz"/>
            <w:noProof/>
          </w:rPr>
          <w:t>B.4. Dopravní řešení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1" w:history="1">
        <w:r w:rsidR="005650D1" w:rsidRPr="00CD4E38">
          <w:rPr>
            <w:rStyle w:val="Hypertextovodkaz"/>
            <w:noProof/>
          </w:rPr>
          <w:t>B.5. Řešení vegetace a souvisejících terénních úprav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2" w:history="1">
        <w:r w:rsidR="005650D1" w:rsidRPr="00CD4E38">
          <w:rPr>
            <w:rStyle w:val="Hypertextovodkaz"/>
            <w:noProof/>
          </w:rPr>
          <w:t>B.6. Popis vlivů stavby na životní prostředí a jeho ochrana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3" w:history="1">
        <w:r w:rsidR="005650D1" w:rsidRPr="00CD4E38">
          <w:rPr>
            <w:rStyle w:val="Hypertextovodkaz"/>
            <w:noProof/>
          </w:rPr>
          <w:t>B.7. Ochrana obyvatelstva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4" w:history="1">
        <w:r w:rsidR="005650D1" w:rsidRPr="00CD4E38">
          <w:rPr>
            <w:rStyle w:val="Hypertextovodkaz"/>
            <w:noProof/>
          </w:rPr>
          <w:t>B.8. Zásady organizace výstavby</w:t>
        </w:r>
      </w:hyperlink>
    </w:p>
    <w:p w:rsidR="005650D1" w:rsidRDefault="000C56AD" w:rsidP="005650D1">
      <w:pPr>
        <w:pStyle w:val="Obsah2"/>
        <w:tabs>
          <w:tab w:val="right" w:leader="dot" w:pos="9628"/>
        </w:tabs>
        <w:spacing w:before="0" w:after="0"/>
        <w:ind w:left="221" w:firstLine="2614"/>
        <w:rPr>
          <w:rFonts w:asciiTheme="minorHAnsi" w:eastAsiaTheme="minorEastAsia" w:hAnsiTheme="minorHAnsi" w:cstheme="minorBidi"/>
          <w:noProof/>
          <w:szCs w:val="22"/>
        </w:rPr>
      </w:pPr>
      <w:hyperlink w:anchor="_Toc510707795" w:history="1">
        <w:r w:rsidR="005650D1" w:rsidRPr="00CD4E38">
          <w:rPr>
            <w:rStyle w:val="Hypertextovodkaz"/>
            <w:noProof/>
          </w:rPr>
          <w:t>B.9.</w:t>
        </w:r>
        <w:r w:rsidR="005650D1" w:rsidRPr="00CD4E38">
          <w:rPr>
            <w:rStyle w:val="Hypertextovodkaz"/>
            <w:noProof/>
            <w:shd w:val="clear" w:color="auto" w:fill="FFFFFF"/>
          </w:rPr>
          <w:t xml:space="preserve"> Celkové vodohospodářské řešení</w:t>
        </w:r>
      </w:hyperlink>
    </w:p>
    <w:p w:rsidR="005650D1" w:rsidRPr="009F08CB" w:rsidRDefault="005650D1" w:rsidP="009F08CB">
      <w:pPr>
        <w:pStyle w:val="Bezmezer"/>
        <w:spacing w:line="288" w:lineRule="auto"/>
        <w:ind w:firstLine="283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fldChar w:fldCharType="end"/>
      </w:r>
    </w:p>
    <w:p w:rsidR="000C56AD" w:rsidRDefault="009F08CB" w:rsidP="000C56AD">
      <w:pPr>
        <w:pStyle w:val="Text"/>
        <w:tabs>
          <w:tab w:val="left" w:pos="3402"/>
        </w:tabs>
        <w:spacing w:after="0"/>
        <w:ind w:firstLine="709"/>
        <w:rPr>
          <w:shd w:val="clear" w:color="auto" w:fill="FEFEFE"/>
        </w:rPr>
      </w:pPr>
      <w:r w:rsidRPr="00011ECE">
        <w:rPr>
          <w:caps/>
        </w:rPr>
        <w:t>i</w:t>
      </w:r>
      <w:r>
        <w:t>nvestor</w:t>
      </w:r>
      <w:r w:rsidRPr="00004BE9">
        <w:t xml:space="preserve"> </w:t>
      </w:r>
      <w:r>
        <w:t>– o</w:t>
      </w:r>
      <w:r w:rsidRPr="00004BE9">
        <w:t>bjednatel</w:t>
      </w:r>
      <w:r>
        <w:t>:</w:t>
      </w:r>
      <w:r>
        <w:tab/>
      </w:r>
      <w:r w:rsidR="000C56AD" w:rsidRPr="000F05BB">
        <w:rPr>
          <w:shd w:val="clear" w:color="auto" w:fill="FEFEFE"/>
        </w:rPr>
        <w:t>Správa železniční dopravní cesty, státní organizace</w:t>
      </w:r>
    </w:p>
    <w:p w:rsidR="000C56AD" w:rsidRDefault="000C56AD" w:rsidP="000C56AD">
      <w:pPr>
        <w:pStyle w:val="Text"/>
        <w:tabs>
          <w:tab w:val="left" w:pos="3402"/>
        </w:tabs>
        <w:spacing w:after="0"/>
        <w:ind w:firstLine="0"/>
        <w:rPr>
          <w:shd w:val="clear" w:color="auto" w:fill="FEFEFE"/>
        </w:rPr>
      </w:pPr>
      <w:r>
        <w:rPr>
          <w:shd w:val="clear" w:color="auto" w:fill="FEFEFE"/>
        </w:rPr>
        <w:tab/>
        <w:t>Nové Město</w:t>
      </w:r>
    </w:p>
    <w:p w:rsidR="000C56AD" w:rsidRDefault="000C56AD" w:rsidP="000C56AD">
      <w:pPr>
        <w:tabs>
          <w:tab w:val="left" w:pos="3402"/>
        </w:tabs>
        <w:spacing w:before="0" w:after="0"/>
        <w:rPr>
          <w:shd w:val="clear" w:color="auto" w:fill="FEFEFE"/>
        </w:rPr>
      </w:pPr>
      <w:r>
        <w:rPr>
          <w:shd w:val="clear" w:color="auto" w:fill="FEFEFE"/>
        </w:rPr>
        <w:tab/>
        <w:t>110 00</w:t>
      </w:r>
      <w:r w:rsidRPr="006C3C8C">
        <w:rPr>
          <w:shd w:val="clear" w:color="auto" w:fill="FEFEFE"/>
        </w:rPr>
        <w:t xml:space="preserve"> </w:t>
      </w:r>
      <w:r>
        <w:rPr>
          <w:shd w:val="clear" w:color="auto" w:fill="FEFEFE"/>
        </w:rPr>
        <w:t>Praha 1</w:t>
      </w:r>
    </w:p>
    <w:p w:rsidR="009F08CB" w:rsidRDefault="009F08CB" w:rsidP="000C56AD">
      <w:pPr>
        <w:tabs>
          <w:tab w:val="left" w:pos="3402"/>
        </w:tabs>
        <w:spacing w:after="0"/>
      </w:pPr>
      <w:r>
        <w:t>Zhotovitel dokumentace:</w:t>
      </w:r>
      <w:r>
        <w:tab/>
        <w:t>A1 spol. s r.o.</w:t>
      </w:r>
    </w:p>
    <w:p w:rsidR="009F08CB" w:rsidRDefault="009F08CB" w:rsidP="009F08CB">
      <w:pPr>
        <w:tabs>
          <w:tab w:val="left" w:pos="3402"/>
        </w:tabs>
        <w:spacing w:before="0" w:after="0" w:line="264" w:lineRule="auto"/>
      </w:pPr>
      <w:r>
        <w:tab/>
        <w:t>Nová 1997/24</w:t>
      </w:r>
    </w:p>
    <w:p w:rsidR="009F08CB" w:rsidRPr="00004BE9" w:rsidRDefault="009F08CB" w:rsidP="009F08CB">
      <w:pPr>
        <w:tabs>
          <w:tab w:val="left" w:pos="3402"/>
        </w:tabs>
        <w:spacing w:before="0" w:line="264" w:lineRule="auto"/>
      </w:pPr>
      <w:r>
        <w:tab/>
      </w:r>
      <w:r w:rsidRPr="00004BE9">
        <w:t>370 01 České Budějovice</w:t>
      </w:r>
    </w:p>
    <w:p w:rsidR="009F08CB" w:rsidRDefault="009F08CB" w:rsidP="007727A5">
      <w:pPr>
        <w:tabs>
          <w:tab w:val="left" w:pos="3402"/>
        </w:tabs>
        <w:spacing w:after="120" w:line="264" w:lineRule="auto"/>
      </w:pPr>
      <w:r w:rsidRPr="00011ECE">
        <w:rPr>
          <w:caps/>
        </w:rPr>
        <w:t>v</w:t>
      </w:r>
      <w:r>
        <w:t xml:space="preserve">edoucí zakázky: </w:t>
      </w:r>
      <w:r>
        <w:tab/>
      </w:r>
      <w:r w:rsidRPr="00004BE9">
        <w:t>Ing.</w:t>
      </w:r>
      <w:r>
        <w:t xml:space="preserve"> František Adler</w:t>
      </w:r>
    </w:p>
    <w:p w:rsidR="009F08CB" w:rsidRPr="00004BE9" w:rsidRDefault="009F08CB" w:rsidP="007727A5">
      <w:pPr>
        <w:tabs>
          <w:tab w:val="left" w:pos="3402"/>
        </w:tabs>
        <w:spacing w:after="120" w:line="264" w:lineRule="auto"/>
      </w:pPr>
      <w:r>
        <w:t>Vypracoval:</w:t>
      </w:r>
      <w:r>
        <w:tab/>
        <w:t>Ing. Oliver Ernst</w:t>
      </w:r>
    </w:p>
    <w:p w:rsidR="009F08CB" w:rsidRPr="00004BE9" w:rsidRDefault="009F08CB" w:rsidP="007727A5">
      <w:pPr>
        <w:tabs>
          <w:tab w:val="left" w:pos="3402"/>
        </w:tabs>
        <w:spacing w:after="120" w:line="264" w:lineRule="auto"/>
      </w:pPr>
      <w:r>
        <w:t>Číslo zakázky:</w:t>
      </w:r>
      <w:r>
        <w:tab/>
      </w:r>
      <w:sdt>
        <w:sdtPr>
          <w:alias w:val="Kategorie"/>
          <w:tag w:val=""/>
          <w:id w:val="-650288215"/>
          <w:placeholder>
            <w:docPart w:val="699A8D612EC7441D8DB78D98F877E053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8A2FD2" w:rsidRPr="006C3C8C">
            <w:t>Z1</w:t>
          </w:r>
          <w:r w:rsidR="00BD6734" w:rsidRPr="006C3C8C">
            <w:t>8</w:t>
          </w:r>
          <w:r w:rsidR="000C56AD">
            <w:t>10</w:t>
          </w:r>
        </w:sdtContent>
      </w:sdt>
    </w:p>
    <w:p w:rsidR="00F053C3" w:rsidRPr="009F08CB" w:rsidRDefault="009F08CB" w:rsidP="007727A5">
      <w:pPr>
        <w:tabs>
          <w:tab w:val="left" w:pos="3402"/>
        </w:tabs>
        <w:spacing w:after="120" w:line="264" w:lineRule="auto"/>
        <w:sectPr w:rsidR="00F053C3" w:rsidRPr="009F08CB" w:rsidSect="007727A5">
          <w:footerReference w:type="even" r:id="rId9"/>
          <w:footerReference w:type="first" r:id="rId10"/>
          <w:pgSz w:w="11906" w:h="16838" w:code="9"/>
          <w:pgMar w:top="1361" w:right="1134" w:bottom="851" w:left="1134" w:header="709" w:footer="709" w:gutter="0"/>
          <w:cols w:space="708"/>
          <w:docGrid w:linePitch="326"/>
        </w:sectPr>
      </w:pPr>
      <w:r>
        <w:t>Datum:</w:t>
      </w:r>
      <w:r>
        <w:tab/>
      </w:r>
      <w:r w:rsidR="000C56AD">
        <w:t>10</w:t>
      </w:r>
      <w:r>
        <w:t>/</w:t>
      </w:r>
      <w:r w:rsidRPr="00004BE9">
        <w:t>201</w:t>
      </w:r>
      <w:r w:rsidR="004D7513">
        <w:t>8</w:t>
      </w:r>
    </w:p>
    <w:p w:rsidR="0081024C" w:rsidRDefault="00FD5261" w:rsidP="00FD5261">
      <w:pPr>
        <w:pStyle w:val="Nadpis2"/>
      </w:pPr>
      <w:bookmarkStart w:id="1" w:name="_Toc510707787"/>
      <w:r w:rsidRPr="00FD5261">
        <w:lastRenderedPageBreak/>
        <w:t>Popis území stavby</w:t>
      </w:r>
      <w:bookmarkEnd w:id="1"/>
    </w:p>
    <w:p w:rsidR="00A9066A" w:rsidRDefault="004D7513" w:rsidP="00A9066A">
      <w:pPr>
        <w:pStyle w:val="Nadpis4"/>
      </w:pPr>
      <w:r>
        <w:rPr>
          <w:shd w:val="clear" w:color="auto" w:fill="FFFFFF"/>
        </w:rPr>
        <w:t>charakteristika území a stavebního pozemku, zastavěné území a nezastavěné území, soulad navrhované stavby s charakterem území, dosavadní využití a zastavěnost území</w:t>
      </w:r>
    </w:p>
    <w:p w:rsidR="00196A77" w:rsidRDefault="00196A77" w:rsidP="00BA4458">
      <w:r>
        <w:t xml:space="preserve">Pozemek je situován ve střední části obce Nová Ves u Českých Budějovic, v klidové </w:t>
      </w:r>
      <w:r w:rsidRPr="00C21927">
        <w:t>části s rodinnými domy a zahradami</w:t>
      </w:r>
      <w:r>
        <w:t>.</w:t>
      </w:r>
    </w:p>
    <w:p w:rsidR="00996017" w:rsidRPr="003D6854" w:rsidRDefault="004243D1" w:rsidP="00BA4458">
      <w:r>
        <w:t>Pozemek je volný, zastavěný a</w:t>
      </w:r>
      <w:r w:rsidR="00996017" w:rsidRPr="003D6854">
        <w:t xml:space="preserve"> </w:t>
      </w:r>
      <w:r>
        <w:t>rovný</w:t>
      </w:r>
      <w:r w:rsidR="00996017" w:rsidRPr="003D6854">
        <w:t xml:space="preserve">. </w:t>
      </w:r>
      <w:r>
        <w:t>Pozemek není oplocen.</w:t>
      </w:r>
    </w:p>
    <w:p w:rsidR="004243D1" w:rsidRDefault="004243D1" w:rsidP="004243D1">
      <w:r>
        <w:t>Příjezd k pozemku je z jihu.</w:t>
      </w:r>
    </w:p>
    <w:p w:rsidR="00557595" w:rsidRDefault="00AC5D5C" w:rsidP="00557595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údaje o souladu</w:t>
      </w:r>
      <w:r w:rsidR="00557595">
        <w:rPr>
          <w:shd w:val="clear" w:color="auto" w:fill="FFFFFF"/>
        </w:rPr>
        <w:t xml:space="preserve"> s územním rozhodnutím nebo regulačním plánem nebo veřejnoprávní smlouvou územní rozhodnutí nahrazující anebo územním souhlasem</w:t>
      </w:r>
    </w:p>
    <w:p w:rsidR="00557595" w:rsidRPr="00557595" w:rsidRDefault="00AC5D5C" w:rsidP="00557595">
      <w:r>
        <w:rPr>
          <w:rFonts w:cs="Arial"/>
          <w:szCs w:val="22"/>
        </w:rPr>
        <w:t xml:space="preserve">Jedná se o stávající objekt, který je v souladu s územním </w:t>
      </w:r>
      <w:r>
        <w:rPr>
          <w:rFonts w:cs="Arial"/>
          <w:szCs w:val="22"/>
        </w:rPr>
        <w:t>rozhodnutím</w:t>
      </w:r>
      <w:r>
        <w:rPr>
          <w:rFonts w:cs="Arial"/>
          <w:szCs w:val="22"/>
        </w:rPr>
        <w:t>.</w:t>
      </w:r>
    </w:p>
    <w:p w:rsidR="007741A9" w:rsidRPr="00BE3F76" w:rsidRDefault="00996017" w:rsidP="00BE3F76">
      <w:pPr>
        <w:pStyle w:val="Nadpis4"/>
      </w:pPr>
      <w:r w:rsidRPr="00BE3F76">
        <w:t xml:space="preserve">údaje o souladu stavby s územně plánovací dokumentací, </w:t>
      </w:r>
      <w:r w:rsidR="00BE3F76" w:rsidRPr="00BE3F76">
        <w:t>v případě stavebních úprav podmiňujících změnu v užívání stavby</w:t>
      </w:r>
    </w:p>
    <w:p w:rsidR="007741A9" w:rsidRDefault="004243D1" w:rsidP="008265EA">
      <w:pPr>
        <w:spacing w:line="276" w:lineRule="auto"/>
        <w:rPr>
          <w:rFonts w:cs="Arial"/>
          <w:color w:val="000000"/>
          <w:sz w:val="20"/>
        </w:rPr>
      </w:pPr>
      <w:r>
        <w:rPr>
          <w:rFonts w:cs="Arial"/>
          <w:szCs w:val="22"/>
        </w:rPr>
        <w:t>Jedná se o stávající objekt, který je v souladu s územním plánem obce.</w:t>
      </w:r>
      <w:r w:rsidR="00BE3F76">
        <w:rPr>
          <w:rFonts w:cs="Arial"/>
          <w:szCs w:val="22"/>
        </w:rPr>
        <w:t xml:space="preserve"> Úpravou nedojde ke změně v užívání stavby.</w:t>
      </w:r>
    </w:p>
    <w:p w:rsidR="003B0CE4" w:rsidRDefault="003B0CE4" w:rsidP="003B0CE4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informace o vydaných rozhodnutích o povolení výjimky z obecných požadavků na využívání území</w:t>
      </w:r>
    </w:p>
    <w:p w:rsidR="003B0CE4" w:rsidRDefault="00072D94" w:rsidP="003B0CE4">
      <w:pPr>
        <w:spacing w:line="276" w:lineRule="auto"/>
      </w:pPr>
      <w:r>
        <w:t>Nebyla vydána žádná rozhodnutí, ani výjimky</w:t>
      </w:r>
      <w:r w:rsidR="003B0CE4">
        <w:t>.</w:t>
      </w:r>
      <w:r w:rsidRPr="00072D94">
        <w:rPr>
          <w:rFonts w:cs="Arial"/>
        </w:rPr>
        <w:t xml:space="preserve"> </w:t>
      </w:r>
      <w:r w:rsidR="004243D1">
        <w:rPr>
          <w:rFonts w:cs="Arial"/>
        </w:rPr>
        <w:t>Udržovacími pracemi</w:t>
      </w:r>
      <w:r w:rsidRPr="0096697B">
        <w:rPr>
          <w:rFonts w:cs="Arial"/>
        </w:rPr>
        <w:t xml:space="preserve"> nevznikají nové nároky na využití území.</w:t>
      </w:r>
    </w:p>
    <w:p w:rsidR="003B0CE4" w:rsidRDefault="003B0CE4" w:rsidP="003B0CE4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informace o tom, zda a v jakých částech dokumentace jsou zohledněny podmínky závazných stanovisek dotčených orgánů</w:t>
      </w:r>
    </w:p>
    <w:p w:rsidR="00072D94" w:rsidRPr="00EA603D" w:rsidRDefault="00072D94" w:rsidP="00072D94">
      <w:r w:rsidRPr="00EA603D">
        <w:t xml:space="preserve">Projektová dokumentace pro </w:t>
      </w:r>
      <w:r w:rsidR="004243D1">
        <w:t>provádění stavby</w:t>
      </w:r>
      <w:r w:rsidRPr="00EA603D">
        <w:t xml:space="preserve"> (</w:t>
      </w:r>
      <w:r w:rsidR="004243D1">
        <w:t>DPS</w:t>
      </w:r>
      <w:r w:rsidRPr="00EA603D">
        <w:t>) je zpracovaná dle požadavků dotčených orgá</w:t>
      </w:r>
      <w:r w:rsidR="004243D1">
        <w:t>nů státní správy a správců sítí</w:t>
      </w:r>
      <w:r w:rsidRPr="00EA603D">
        <w:t>.</w:t>
      </w:r>
    </w:p>
    <w:p w:rsidR="005543DC" w:rsidRDefault="005543DC" w:rsidP="005543DC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výčet a závěry provedených průzkumů a rozborů - geologický průzkum, hydrogeologický průzkum, stavebně historický průzkum apod.</w:t>
      </w:r>
    </w:p>
    <w:p w:rsidR="004243D1" w:rsidRPr="004243D1" w:rsidRDefault="004243D1" w:rsidP="004243D1">
      <w:r>
        <w:t>Nebyl proveden žádný z výše jmenovaných průzkumů.</w:t>
      </w:r>
    </w:p>
    <w:p w:rsidR="00FD5261" w:rsidRPr="00514951" w:rsidRDefault="005543DC" w:rsidP="00514951">
      <w:pPr>
        <w:pStyle w:val="Nadpis4"/>
      </w:pPr>
      <w:r w:rsidRPr="00514951">
        <w:t>ochrana území podle jiných právních předpisů</w:t>
      </w:r>
      <w:r w:rsidR="00514951" w:rsidRPr="00514951">
        <w:t xml:space="preserve"> (</w:t>
      </w:r>
      <w:r w:rsidR="00072A88">
        <w:t>např.</w:t>
      </w:r>
      <w:r w:rsidR="00514951" w:rsidRPr="00514951">
        <w:t xml:space="preserve"> zákon č. 20/1987 Sb., o státní památkové péči, ve znění pozdějších předpisů, zákon č. 114/1992 Sb., o ochraně přírody a krajiny, ve znění pozdějších předpisů</w:t>
      </w:r>
      <w:r w:rsidR="00514951">
        <w:t>)</w:t>
      </w:r>
    </w:p>
    <w:p w:rsidR="00FD5261" w:rsidRPr="00514951" w:rsidRDefault="00072A88" w:rsidP="00514951">
      <w:pPr>
        <w:tabs>
          <w:tab w:val="left" w:pos="1701"/>
        </w:tabs>
        <w:rPr>
          <w:rFonts w:cs="Arial"/>
          <w:bCs/>
          <w:szCs w:val="22"/>
        </w:rPr>
      </w:pPr>
      <w:r>
        <w:t>Jedná se o stávající objekt. Objekt</w:t>
      </w:r>
      <w:r w:rsidR="007D2F27">
        <w:t xml:space="preserve"> nezasahuje do stávajících ochranných ani bezpečnostních pásem</w:t>
      </w:r>
      <w:r w:rsidR="00514951">
        <w:rPr>
          <w:rFonts w:cs="Arial"/>
          <w:bCs/>
          <w:szCs w:val="22"/>
        </w:rPr>
        <w:t>. Není evidován žádný jiný způsob ochrany.</w:t>
      </w:r>
    </w:p>
    <w:p w:rsidR="00FD5261" w:rsidRDefault="007D2F27" w:rsidP="007D2F27">
      <w:pPr>
        <w:pStyle w:val="Nadpis4"/>
      </w:pPr>
      <w:r>
        <w:t>poloha vzhledem k záplavovému území, poddolovanému území apod.</w:t>
      </w:r>
    </w:p>
    <w:p w:rsidR="007D2F27" w:rsidRPr="007D2F27" w:rsidRDefault="007D2F27" w:rsidP="007D2F27">
      <w:r>
        <w:t xml:space="preserve">Pozemek, na kterém se stavba </w:t>
      </w:r>
      <w:r w:rsidR="005543DC">
        <w:t>nachází, není</w:t>
      </w:r>
      <w:r>
        <w:t xml:space="preserve"> v záplavovém území</w:t>
      </w:r>
      <w:r w:rsidR="005A20A2">
        <w:t xml:space="preserve"> ani poddolovaném území apod.</w:t>
      </w:r>
    </w:p>
    <w:p w:rsidR="007D2F27" w:rsidRDefault="007D2F27" w:rsidP="007D2F27">
      <w:pPr>
        <w:pStyle w:val="Nadpis4"/>
      </w:pPr>
      <w:r>
        <w:lastRenderedPageBreak/>
        <w:t>vliv stavby na okolní stavby a pozemky, ochrana okolí, vliv stavby na odtokové poměry v</w:t>
      </w:r>
      <w:r w:rsidR="005A20A2">
        <w:t> </w:t>
      </w:r>
      <w:r>
        <w:t>území</w:t>
      </w:r>
    </w:p>
    <w:p w:rsidR="005543DC" w:rsidRDefault="003B1E83" w:rsidP="005543DC">
      <w:pPr>
        <w:spacing w:line="276" w:lineRule="auto"/>
      </w:pPr>
      <w:r w:rsidRPr="00C21927">
        <w:rPr>
          <w:rFonts w:cs="Arial"/>
          <w:szCs w:val="22"/>
        </w:rPr>
        <w:t xml:space="preserve">Vzhledem k rozsahu a charakteru </w:t>
      </w:r>
      <w:r w:rsidR="008B1E4B">
        <w:rPr>
          <w:rFonts w:cs="Arial"/>
          <w:szCs w:val="22"/>
        </w:rPr>
        <w:t>objektu</w:t>
      </w:r>
      <w:r w:rsidRPr="00C21927">
        <w:rPr>
          <w:rFonts w:cs="Arial"/>
          <w:szCs w:val="22"/>
        </w:rPr>
        <w:t xml:space="preserve"> se vliv na okolní stavby a pozemky nezmění, nevyvolává žádné zvláštní požadavky na ochranu okolí a nezhorší odtokové poměry v území. </w:t>
      </w:r>
      <w:r w:rsidRPr="00C21927">
        <w:rPr>
          <w:rFonts w:cs="Arial"/>
          <w:bCs/>
          <w:szCs w:val="22"/>
        </w:rPr>
        <w:t xml:space="preserve">Prostor </w:t>
      </w:r>
      <w:r w:rsidR="008B1E4B">
        <w:rPr>
          <w:rFonts w:cs="Arial"/>
          <w:bCs/>
          <w:szCs w:val="22"/>
        </w:rPr>
        <w:t>objektu</w:t>
      </w:r>
      <w:r w:rsidRPr="00C21927">
        <w:rPr>
          <w:rFonts w:cs="Arial"/>
          <w:bCs/>
          <w:szCs w:val="22"/>
        </w:rPr>
        <w:t xml:space="preserve"> není kontaminován látkami škodlivými pro životní prostředí.</w:t>
      </w:r>
    </w:p>
    <w:p w:rsidR="007D2F27" w:rsidRDefault="007D2F27" w:rsidP="007D2F27">
      <w:pPr>
        <w:pStyle w:val="Nadpis4"/>
      </w:pPr>
      <w:r>
        <w:t>požadavky na asanace, demolice, kácení dřevin</w:t>
      </w:r>
    </w:p>
    <w:p w:rsidR="005A20A2" w:rsidRPr="005A20A2" w:rsidRDefault="003B1E83" w:rsidP="005A20A2">
      <w:pPr>
        <w:spacing w:after="0"/>
      </w:pPr>
      <w:r w:rsidRPr="00C21927">
        <w:rPr>
          <w:rFonts w:cs="Arial"/>
        </w:rPr>
        <w:t xml:space="preserve">Požadavky na asanace či demolice </w:t>
      </w:r>
      <w:r w:rsidR="008B1E4B">
        <w:rPr>
          <w:rFonts w:cs="Arial"/>
        </w:rPr>
        <w:t>udržovací práce nemají</w:t>
      </w:r>
      <w:r w:rsidRPr="00C21927">
        <w:rPr>
          <w:rFonts w:cs="Arial"/>
        </w:rPr>
        <w:t>. Ke kácení stromů nedojde.</w:t>
      </w:r>
    </w:p>
    <w:p w:rsidR="007D2F27" w:rsidRPr="00996017" w:rsidRDefault="007D2F27" w:rsidP="00996017">
      <w:pPr>
        <w:pStyle w:val="Nadpis4"/>
      </w:pPr>
      <w:r w:rsidRPr="00996017">
        <w:t xml:space="preserve">požadavky na maximální </w:t>
      </w:r>
      <w:r w:rsidR="00996017">
        <w:t>dočasné a trvalé</w:t>
      </w:r>
      <w:r w:rsidR="00996017" w:rsidRPr="00996017">
        <w:t xml:space="preserve"> </w:t>
      </w:r>
      <w:r w:rsidRPr="00996017">
        <w:t>zábory zemědělského půdního fondu nebo pozemk</w:t>
      </w:r>
      <w:r w:rsidR="00996017">
        <w:t>ů určených k plnění funkce lesa</w:t>
      </w:r>
    </w:p>
    <w:p w:rsidR="003B1E83" w:rsidRDefault="008B1E4B" w:rsidP="005A20A2">
      <w:pPr>
        <w:rPr>
          <w:rFonts w:cs="Arial"/>
          <w:szCs w:val="22"/>
        </w:rPr>
      </w:pPr>
      <w:r>
        <w:rPr>
          <w:rFonts w:cs="Arial"/>
          <w:bCs/>
          <w:szCs w:val="22"/>
        </w:rPr>
        <w:t>Jedná se o již zastavěný pozemek</w:t>
      </w:r>
      <w:r w:rsidR="003B1E83" w:rsidRPr="00C21927">
        <w:rPr>
          <w:rFonts w:cs="Arial"/>
          <w:szCs w:val="22"/>
        </w:rPr>
        <w:t>. Žádná jiná omezení v území nejsou evidována.</w:t>
      </w:r>
    </w:p>
    <w:p w:rsidR="007D2F27" w:rsidRPr="0063208D" w:rsidRDefault="005543DC" w:rsidP="0063208D">
      <w:pPr>
        <w:pStyle w:val="Nadpis4"/>
      </w:pPr>
      <w:r w:rsidRPr="0063208D">
        <w:t>územně technické podmínky - zejména možnost napojení na stávající dopravní a technickou infrastrukturu, možnost bezbariérového přístupu k navrhované stavbě</w:t>
      </w:r>
    </w:p>
    <w:p w:rsidR="003B1E83" w:rsidRPr="00C21927" w:rsidRDefault="00BE3F76" w:rsidP="003B1E83">
      <w:pPr>
        <w:rPr>
          <w:bCs/>
        </w:rPr>
      </w:pPr>
      <w:r>
        <w:t>Objekt je již napojen na místní komunikaci v obci včetně napojení na veškeré inženýrské sítě. Úpravou objektu nedojde ke změně.</w:t>
      </w:r>
    </w:p>
    <w:p w:rsidR="007D2F27" w:rsidRDefault="007D2F27" w:rsidP="007D2F27">
      <w:pPr>
        <w:pStyle w:val="Nadpis4"/>
      </w:pPr>
      <w:r>
        <w:t>věcné a časové vazby stavby, podmiňující, vyvolané, související investice</w:t>
      </w:r>
    </w:p>
    <w:p w:rsidR="00A0136E" w:rsidRDefault="00DF3073" w:rsidP="00A0136E">
      <w:pPr>
        <w:spacing w:line="276" w:lineRule="auto"/>
      </w:pPr>
      <w:r w:rsidRPr="00C21927">
        <w:rPr>
          <w:rFonts w:cs="Arial"/>
          <w:bCs/>
        </w:rPr>
        <w:t>Související a podmiňující investice nejsou uvažovány.</w:t>
      </w:r>
    </w:p>
    <w:p w:rsidR="00326219" w:rsidRDefault="00326219" w:rsidP="00326219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seznam pozemků podle katastru nemovitostí, na kterých se stavba provádí</w:t>
      </w:r>
    </w:p>
    <w:p w:rsidR="00326219" w:rsidRPr="002006DC" w:rsidRDefault="00326219" w:rsidP="00A27EAD">
      <w:pPr>
        <w:spacing w:after="0"/>
      </w:pPr>
      <w:r w:rsidRPr="002006DC">
        <w:t xml:space="preserve">Obec </w:t>
      </w:r>
      <w:r w:rsidR="00AC5D5C">
        <w:t>Nová Ves</w:t>
      </w:r>
      <w:r w:rsidR="00DF3073">
        <w:t xml:space="preserve"> </w:t>
      </w:r>
      <w:r w:rsidR="00AC5D5C">
        <w:t xml:space="preserve">u Českých Budějovic </w:t>
      </w:r>
      <w:r w:rsidR="00DF3073">
        <w:t>(</w:t>
      </w:r>
      <w:r w:rsidR="00AC5D5C">
        <w:t>702111</w:t>
      </w:r>
      <w:r w:rsidRPr="002006DC">
        <w:t>)</w:t>
      </w:r>
    </w:p>
    <w:p w:rsidR="00326219" w:rsidRPr="002006DC" w:rsidRDefault="00AC5D5C" w:rsidP="00A27EAD">
      <w:pPr>
        <w:keepNext/>
        <w:spacing w:after="0"/>
      </w:pPr>
      <w:r>
        <w:t>● Pozemek</w:t>
      </w:r>
      <w:r w:rsidR="00326219" w:rsidRPr="002006DC">
        <w:t xml:space="preserve"> přímo dotčený</w:t>
      </w:r>
    </w:p>
    <w:p w:rsidR="00326219" w:rsidRDefault="00326219" w:rsidP="00326219">
      <w:r>
        <w:t>P</w:t>
      </w:r>
      <w:r w:rsidRPr="00FA6B33">
        <w:t>ozem</w:t>
      </w:r>
      <w:r>
        <w:t>ek se nachází</w:t>
      </w:r>
      <w:r w:rsidRPr="00FA6B33">
        <w:t xml:space="preserve"> v</w:t>
      </w:r>
      <w:r>
        <w:t> </w:t>
      </w:r>
      <w:r w:rsidRPr="00FA6B33">
        <w:t>majetku</w:t>
      </w:r>
      <w:r>
        <w:t xml:space="preserve"> investora.</w:t>
      </w:r>
    </w:p>
    <w:tbl>
      <w:tblPr>
        <w:tblW w:w="981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925"/>
        <w:gridCol w:w="1719"/>
        <w:gridCol w:w="1719"/>
        <w:gridCol w:w="4584"/>
      </w:tblGrid>
      <w:tr w:rsidR="00326219" w:rsidRPr="00EE789D" w:rsidTr="00DF3073">
        <w:trPr>
          <w:trHeight w:val="681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0B34E9" w:rsidRDefault="00326219" w:rsidP="00026815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B34E9">
              <w:rPr>
                <w:rFonts w:ascii="Arial" w:hAnsi="Arial" w:cs="Arial"/>
                <w:sz w:val="22"/>
                <w:szCs w:val="22"/>
              </w:rPr>
              <w:t>parc</w:t>
            </w:r>
            <w:proofErr w:type="spellEnd"/>
            <w:r w:rsidRPr="000B34E9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0B34E9">
              <w:rPr>
                <w:rFonts w:ascii="Arial" w:hAnsi="Arial" w:cs="Arial"/>
                <w:sz w:val="22"/>
                <w:szCs w:val="22"/>
              </w:rPr>
              <w:t>č.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6219" w:rsidRPr="000B34E9" w:rsidRDefault="00326219" w:rsidP="00026815">
            <w:pPr>
              <w:pStyle w:val="Bezmezer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34E9">
              <w:rPr>
                <w:rFonts w:ascii="Arial" w:hAnsi="Arial" w:cs="Arial"/>
                <w:sz w:val="22"/>
                <w:szCs w:val="22"/>
              </w:rPr>
              <w:t>výměra (m</w:t>
            </w:r>
            <w:r w:rsidRPr="000B34E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0B34E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0B34E9" w:rsidRDefault="00326219" w:rsidP="00026815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0B34E9">
              <w:rPr>
                <w:rFonts w:ascii="Arial" w:hAnsi="Arial" w:cs="Arial"/>
                <w:sz w:val="22"/>
                <w:szCs w:val="22"/>
              </w:rPr>
              <w:t>druh pozemku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0B34E9" w:rsidRDefault="00326219" w:rsidP="00026815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0B34E9">
              <w:rPr>
                <w:rFonts w:ascii="Arial" w:hAnsi="Arial" w:cs="Arial"/>
                <w:sz w:val="22"/>
                <w:szCs w:val="22"/>
              </w:rPr>
              <w:t>způsob ochrany nemovitosti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26219" w:rsidRPr="000B34E9" w:rsidRDefault="00326219" w:rsidP="00026815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 w:rsidRPr="000B34E9">
              <w:rPr>
                <w:rFonts w:ascii="Arial" w:hAnsi="Arial" w:cs="Arial"/>
                <w:sz w:val="22"/>
                <w:szCs w:val="22"/>
              </w:rPr>
              <w:t>vlastník</w:t>
            </w:r>
          </w:p>
        </w:tc>
      </w:tr>
      <w:tr w:rsidR="00DF3073" w:rsidRPr="00EE789D" w:rsidTr="00DF3073">
        <w:trPr>
          <w:trHeight w:val="567"/>
        </w:trPr>
        <w:tc>
          <w:tcPr>
            <w:tcW w:w="86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73" w:rsidRPr="00026815" w:rsidRDefault="00AC5D5C" w:rsidP="00DF307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865</w:t>
            </w:r>
          </w:p>
        </w:tc>
        <w:tc>
          <w:tcPr>
            <w:tcW w:w="92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073" w:rsidRPr="00026815" w:rsidRDefault="00AC5D5C" w:rsidP="00DF307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269</w:t>
            </w:r>
          </w:p>
        </w:tc>
        <w:tc>
          <w:tcPr>
            <w:tcW w:w="17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73" w:rsidRPr="00026815" w:rsidRDefault="00AC5D5C" w:rsidP="00DF3073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Zastavěná plocha a nádvoří</w:t>
            </w:r>
          </w:p>
        </w:tc>
        <w:tc>
          <w:tcPr>
            <w:tcW w:w="17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073" w:rsidRPr="00B13641" w:rsidRDefault="00AC5D5C" w:rsidP="00DF3073">
            <w:pPr>
              <w:pStyle w:val="Bezmezer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584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F3073" w:rsidRPr="00C56ABF" w:rsidRDefault="00AC5D5C" w:rsidP="00DF3073">
            <w:pPr>
              <w:spacing w:before="0" w:after="0"/>
              <w:ind w:firstLine="0"/>
              <w:rPr>
                <w:shd w:val="clear" w:color="auto" w:fill="FEFEFE"/>
              </w:rPr>
            </w:pPr>
            <w:r w:rsidRPr="00AC5D5C">
              <w:rPr>
                <w:szCs w:val="22"/>
                <w:shd w:val="clear" w:color="auto" w:fill="FEFEFE"/>
              </w:rPr>
              <w:t>Správa železniční dopravní cesty, státní organizace, Dlážděná 1003/7, Nové Město, 110</w:t>
            </w:r>
            <w:r>
              <w:rPr>
                <w:szCs w:val="22"/>
                <w:shd w:val="clear" w:color="auto" w:fill="FEFEFE"/>
              </w:rPr>
              <w:t> </w:t>
            </w:r>
            <w:r w:rsidRPr="00AC5D5C">
              <w:rPr>
                <w:szCs w:val="22"/>
                <w:shd w:val="clear" w:color="auto" w:fill="FEFEFE"/>
              </w:rPr>
              <w:t>00 Praha 1</w:t>
            </w:r>
          </w:p>
        </w:tc>
      </w:tr>
    </w:tbl>
    <w:p w:rsidR="00326219" w:rsidRPr="005F7D20" w:rsidRDefault="00326219" w:rsidP="00DF3073">
      <w:pPr>
        <w:keepNext/>
      </w:pPr>
      <w:r w:rsidRPr="005F7D20">
        <w:t>● Pozemky sousedící</w:t>
      </w:r>
    </w:p>
    <w:tbl>
      <w:tblPr>
        <w:tblW w:w="9814" w:type="dxa"/>
        <w:tblInd w:w="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"/>
        <w:gridCol w:w="925"/>
        <w:gridCol w:w="1719"/>
        <w:gridCol w:w="1719"/>
        <w:gridCol w:w="4584"/>
      </w:tblGrid>
      <w:tr w:rsidR="00326219" w:rsidRPr="00B13641" w:rsidTr="007B4955">
        <w:trPr>
          <w:trHeight w:val="454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B13641" w:rsidRDefault="00326219" w:rsidP="00DF3073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3641">
              <w:rPr>
                <w:rFonts w:ascii="Arial" w:hAnsi="Arial" w:cs="Arial"/>
                <w:sz w:val="22"/>
                <w:szCs w:val="22"/>
              </w:rPr>
              <w:t>parc</w:t>
            </w:r>
            <w:proofErr w:type="spellEnd"/>
            <w:r w:rsidRPr="00B13641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gramStart"/>
            <w:r w:rsidRPr="00B13641">
              <w:rPr>
                <w:rFonts w:ascii="Arial" w:hAnsi="Arial" w:cs="Arial"/>
                <w:sz w:val="22"/>
                <w:szCs w:val="22"/>
              </w:rPr>
              <w:t>č.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26219" w:rsidRPr="00B13641" w:rsidRDefault="00326219" w:rsidP="00DF3073">
            <w:pPr>
              <w:pStyle w:val="Bezmezer"/>
              <w:keepNext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3641">
              <w:rPr>
                <w:rFonts w:ascii="Arial" w:hAnsi="Arial" w:cs="Arial"/>
                <w:sz w:val="22"/>
                <w:szCs w:val="22"/>
              </w:rPr>
              <w:t>výměra (m</w:t>
            </w:r>
            <w:r w:rsidRPr="00B1364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13641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B13641" w:rsidRDefault="00326219" w:rsidP="00DF3073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 w:rsidRPr="00B13641">
              <w:rPr>
                <w:rFonts w:ascii="Arial" w:hAnsi="Arial" w:cs="Arial"/>
                <w:sz w:val="22"/>
                <w:szCs w:val="22"/>
              </w:rPr>
              <w:t>druh pozemku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326219" w:rsidRPr="00B13641" w:rsidRDefault="00326219" w:rsidP="00DF3073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 w:rsidRPr="00B13641">
              <w:rPr>
                <w:rFonts w:ascii="Arial" w:hAnsi="Arial" w:cs="Arial"/>
                <w:sz w:val="22"/>
                <w:szCs w:val="22"/>
              </w:rPr>
              <w:t>způsob ochrany nemovitosti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double" w:sz="4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326219" w:rsidRPr="00B13641" w:rsidRDefault="00326219" w:rsidP="00DF3073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 w:rsidRPr="00B13641">
              <w:rPr>
                <w:rFonts w:ascii="Arial" w:hAnsi="Arial" w:cs="Arial"/>
                <w:sz w:val="22"/>
                <w:szCs w:val="22"/>
              </w:rPr>
              <w:t>vlastník</w:t>
            </w:r>
          </w:p>
        </w:tc>
      </w:tr>
      <w:tr w:rsidR="00326219" w:rsidRPr="00B13641" w:rsidTr="007B4955">
        <w:trPr>
          <w:trHeight w:val="56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219" w:rsidRPr="00B160E3" w:rsidRDefault="00AC5D5C" w:rsidP="0077644A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862/2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219" w:rsidRPr="00B160E3" w:rsidRDefault="00AC5D5C" w:rsidP="0077644A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1205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219" w:rsidRPr="00B160E3" w:rsidRDefault="00AC5D5C" w:rsidP="00DF3073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ostatní plocha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6219" w:rsidRPr="00B13641" w:rsidRDefault="00AC5D5C" w:rsidP="00DF3073">
            <w:pPr>
              <w:pStyle w:val="Bezmezer"/>
              <w:keepNext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219" w:rsidRPr="00AC5D5C" w:rsidRDefault="00AC5D5C" w:rsidP="0077644A">
            <w:pPr>
              <w:pStyle w:val="Bezmezer"/>
              <w:rPr>
                <w:rFonts w:ascii="Arial" w:hAnsi="Arial"/>
                <w:kern w:val="0"/>
                <w:sz w:val="22"/>
                <w:szCs w:val="22"/>
                <w:shd w:val="clear" w:color="auto" w:fill="FEFEFE"/>
              </w:rPr>
            </w:pPr>
            <w:r w:rsidRPr="00AC5D5C">
              <w:rPr>
                <w:rFonts w:ascii="Arial" w:hAnsi="Arial"/>
                <w:kern w:val="0"/>
                <w:sz w:val="22"/>
                <w:szCs w:val="22"/>
                <w:shd w:val="clear" w:color="auto" w:fill="FEFEFE"/>
              </w:rPr>
              <w:t>Obec Nová Ves, Hůrka 130, 37006 Nová Ves</w:t>
            </w:r>
          </w:p>
        </w:tc>
      </w:tr>
      <w:tr w:rsidR="00AC5D5C" w:rsidRPr="00B13641" w:rsidTr="007B4955">
        <w:trPr>
          <w:trHeight w:val="56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B160E3" w:rsidRDefault="00AC5D5C" w:rsidP="00AC5D5C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862/6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5C" w:rsidRPr="00B160E3" w:rsidRDefault="00AC5D5C" w:rsidP="00AC5D5C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21167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B160E3" w:rsidRDefault="00AC5D5C" w:rsidP="00AC5D5C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ostatní plocha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B13641" w:rsidRDefault="00AC5D5C" w:rsidP="00AC5D5C">
            <w:pPr>
              <w:pStyle w:val="Bezmezer"/>
              <w:keepNext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5C" w:rsidRPr="0077644A" w:rsidRDefault="00AC5D5C" w:rsidP="00AC5D5C">
            <w:pPr>
              <w:pStyle w:val="Bezmezer"/>
              <w:rPr>
                <w:rFonts w:cs="Arial"/>
                <w:color w:val="222222"/>
                <w:sz w:val="19"/>
                <w:szCs w:val="19"/>
              </w:rPr>
            </w:pPr>
            <w:r w:rsidRPr="00AC5D5C">
              <w:rPr>
                <w:rFonts w:ascii="Arial" w:hAnsi="Arial"/>
                <w:sz w:val="22"/>
                <w:szCs w:val="22"/>
                <w:shd w:val="clear" w:color="auto" w:fill="FEFEFE"/>
              </w:rPr>
              <w:t>Správa železniční dopravní cesty, státní organizace, Dlážděná 1003/7, Nové Město, 110</w:t>
            </w:r>
            <w:r>
              <w:rPr>
                <w:szCs w:val="22"/>
                <w:shd w:val="clear" w:color="auto" w:fill="FEFEFE"/>
              </w:rPr>
              <w:t> </w:t>
            </w:r>
            <w:r w:rsidRPr="00AC5D5C">
              <w:rPr>
                <w:rFonts w:ascii="Arial" w:hAnsi="Arial"/>
                <w:sz w:val="22"/>
                <w:szCs w:val="22"/>
                <w:shd w:val="clear" w:color="auto" w:fill="FEFEFE"/>
              </w:rPr>
              <w:t>00 Praha 1</w:t>
            </w:r>
          </w:p>
        </w:tc>
      </w:tr>
      <w:tr w:rsidR="00AC5D5C" w:rsidRPr="00B13641" w:rsidTr="007B4955">
        <w:trPr>
          <w:trHeight w:val="567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026815" w:rsidRDefault="00AC5D5C" w:rsidP="00AC5D5C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862/7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D5C" w:rsidRPr="00026815" w:rsidRDefault="00AC5D5C" w:rsidP="00AC5D5C">
            <w:pPr>
              <w:pStyle w:val="Bezmez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194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B160E3" w:rsidRDefault="00AC5D5C" w:rsidP="00AC5D5C">
            <w:pPr>
              <w:pStyle w:val="Bezmezer"/>
              <w:keepNext/>
              <w:widowControl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ostatní plocha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D5C" w:rsidRPr="00B13641" w:rsidRDefault="00AC5D5C" w:rsidP="00AC5D5C">
            <w:pPr>
              <w:pStyle w:val="Bezmezer"/>
              <w:keepNext/>
              <w:widowControl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5D5C" w:rsidRPr="00AC5D5C" w:rsidRDefault="00AC5D5C" w:rsidP="00AC5D5C">
            <w:pPr>
              <w:pStyle w:val="Bezmezer"/>
              <w:rPr>
                <w:rFonts w:ascii="Arial" w:hAnsi="Arial"/>
                <w:kern w:val="0"/>
                <w:sz w:val="22"/>
                <w:szCs w:val="22"/>
                <w:shd w:val="clear" w:color="auto" w:fill="FEFEFE"/>
              </w:rPr>
            </w:pPr>
            <w:r w:rsidRPr="00AC5D5C">
              <w:rPr>
                <w:rFonts w:ascii="Arial" w:hAnsi="Arial"/>
                <w:kern w:val="0"/>
                <w:sz w:val="22"/>
                <w:szCs w:val="22"/>
                <w:shd w:val="clear" w:color="auto" w:fill="FEFEFE"/>
              </w:rPr>
              <w:t>Obec Nová Ves, Hůrka 130, 37006 Nová Ves</w:t>
            </w:r>
          </w:p>
        </w:tc>
      </w:tr>
    </w:tbl>
    <w:p w:rsidR="00AC5D5C" w:rsidRPr="00AC5D5C" w:rsidRDefault="00AC5D5C" w:rsidP="00AC5D5C">
      <w:pPr>
        <w:pStyle w:val="Text"/>
      </w:pPr>
      <w:r w:rsidRPr="00AC5D5C">
        <w:t xml:space="preserve">Na sousedních pozemcích </w:t>
      </w:r>
      <w:r w:rsidR="001C2EFE">
        <w:t>by se měla</w:t>
      </w:r>
      <w:r w:rsidRPr="00AC5D5C">
        <w:t xml:space="preserve"> vyřešit věcná břemena </w:t>
      </w:r>
      <w:r w:rsidR="001C2EFE">
        <w:t xml:space="preserve">nebo jiné právní náležitosti </w:t>
      </w:r>
      <w:r w:rsidRPr="00AC5D5C">
        <w:t>z důvodu zakopání pásků hromosvodu do země.</w:t>
      </w:r>
    </w:p>
    <w:p w:rsidR="00326219" w:rsidRDefault="00326219" w:rsidP="00326219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lastRenderedPageBreak/>
        <w:t>seznam pozemků podle katastru nemovitostí, na kterých vznikne ochranné nebo bezpečnostní pásmo</w:t>
      </w:r>
    </w:p>
    <w:p w:rsidR="00C56ABF" w:rsidRPr="00C56ABF" w:rsidRDefault="00C56ABF" w:rsidP="00C56ABF">
      <w:r>
        <w:t>Na žádném pozemku nevznikne ochranné nebo bezpečnostní pásmo.</w:t>
      </w:r>
    </w:p>
    <w:p w:rsidR="005A20A2" w:rsidRDefault="005A20A2" w:rsidP="005A20A2">
      <w:pPr>
        <w:pStyle w:val="Nadpis2"/>
      </w:pPr>
      <w:bookmarkStart w:id="2" w:name="_Toc510707788"/>
      <w:r>
        <w:t>Celkový popis stavby</w:t>
      </w:r>
      <w:bookmarkEnd w:id="2"/>
    </w:p>
    <w:p w:rsidR="000D701B" w:rsidRDefault="000D701B" w:rsidP="000D701B">
      <w:pPr>
        <w:pStyle w:val="Nadpis3"/>
        <w:rPr>
          <w:shd w:val="clear" w:color="auto" w:fill="FFFFFF"/>
        </w:rPr>
      </w:pPr>
      <w:r>
        <w:rPr>
          <w:shd w:val="clear" w:color="auto" w:fill="FFFFFF"/>
        </w:rPr>
        <w:t>Základní charakteristika stavby a jejího užívání</w:t>
      </w:r>
    </w:p>
    <w:p w:rsidR="000D701B" w:rsidRPr="00AC5D5C" w:rsidRDefault="000D701B" w:rsidP="00AC5D5C">
      <w:pPr>
        <w:pStyle w:val="Nadpis4"/>
      </w:pPr>
      <w:r w:rsidRPr="00AC5D5C">
        <w:t>nová stavba nebo změna dokončené stavby</w:t>
      </w:r>
      <w:r w:rsidR="00AC5D5C" w:rsidRPr="00AC5D5C">
        <w:t>; u změny stavby údaje o jejich současném stavu, závěry stavebně technického, případně stavebně historického průzkumu a výsledky statického posouzení nosných konstrukcí</w:t>
      </w:r>
    </w:p>
    <w:p w:rsidR="003C0FCD" w:rsidRDefault="000D701B" w:rsidP="000D701B">
      <w:r w:rsidRPr="00041A98">
        <w:t xml:space="preserve">Jedná se o </w:t>
      </w:r>
      <w:r w:rsidR="00AC5D5C">
        <w:t>změnu dokončené stavby</w:t>
      </w:r>
      <w:r w:rsidRPr="00041A98">
        <w:t>.</w:t>
      </w:r>
    </w:p>
    <w:p w:rsidR="000D701B" w:rsidRDefault="00AC5D5C" w:rsidP="000D701B">
      <w:r>
        <w:t xml:space="preserve">Stávající stavba </w:t>
      </w:r>
      <w:r w:rsidR="003C0FCD">
        <w:t xml:space="preserve">nevykazuje viditelné rozsáhlé poškození. Na omítkách se netvoří trhliny, vlhkostní mapy. Zdivo je soudržné, bez trhlin a nevykazuje známky nestability. Krov hlavní části objektu je ovšem silně poškozen hnilobou. Střešní krytina hlavní části je místy popraskaná, drolící se. Výplně otvorů jsou v pořádku, nevykazující žádné poničení. Stropní konstrukce jsou tuhé, samonosné bez trhlin. Podlahy jsou v pořádku. Stav základových </w:t>
      </w:r>
      <w:proofErr w:type="spellStart"/>
      <w:r w:rsidR="003C0FCD">
        <w:t>kcí</w:t>
      </w:r>
      <w:proofErr w:type="spellEnd"/>
      <w:r w:rsidR="003C0FCD">
        <w:t xml:space="preserve"> nebyl zjištěn.</w:t>
      </w:r>
    </w:p>
    <w:p w:rsidR="000D701B" w:rsidRDefault="000D701B" w:rsidP="000D701B">
      <w:pPr>
        <w:pStyle w:val="Nadpis4"/>
      </w:pPr>
      <w:r>
        <w:t>účel užívání stavby</w:t>
      </w:r>
    </w:p>
    <w:p w:rsidR="00DA4D5E" w:rsidRPr="00C21927" w:rsidRDefault="005E1087" w:rsidP="00DA4D5E">
      <w:r>
        <w:t>Řešený objekt slouží z části k bydlení a z části pro provoz nádraží</w:t>
      </w:r>
      <w:r w:rsidR="00DA4D5E" w:rsidRPr="00C21927">
        <w:rPr>
          <w:bCs/>
        </w:rPr>
        <w:t>.</w:t>
      </w:r>
    </w:p>
    <w:p w:rsidR="000D701B" w:rsidRDefault="000D701B" w:rsidP="000D701B">
      <w:pPr>
        <w:pStyle w:val="Nadpis4"/>
      </w:pPr>
      <w:r w:rsidRPr="00041A98">
        <w:t>trvalá nebo dočasná stavba</w:t>
      </w:r>
    </w:p>
    <w:p w:rsidR="000D701B" w:rsidRPr="00041A98" w:rsidRDefault="000D701B" w:rsidP="000D701B">
      <w:r>
        <w:t>Jedná se o stavbu trvalou.</w:t>
      </w:r>
    </w:p>
    <w:p w:rsidR="0063208D" w:rsidRPr="0063208D" w:rsidRDefault="0063208D" w:rsidP="0063208D">
      <w:pPr>
        <w:pStyle w:val="Nadpis4"/>
      </w:pPr>
      <w:r w:rsidRPr="0063208D">
        <w:t>informace o vydaných rozhodnutích o povolení výjimky z technických požadavků na stavby a technických požadavků zabezpečujících bezbariérové užívání stavby</w:t>
      </w:r>
    </w:p>
    <w:p w:rsidR="005E1087" w:rsidRPr="005E1087" w:rsidRDefault="005E1087" w:rsidP="005E1087">
      <w:r w:rsidRPr="005E1087">
        <w:t>Část objektu určená pro veřejnost splňuje vyhlášku 398/2009 Sb. obecně technické požadavky zabezpečujících bezbariérové užívání staveb. Žádné úpravy a opatření pro pohyb osob s omezením pohybu a orientace nejsou investorem požadovány a stávající stav splňuje požadavky. Bezbariérově je navržen pouze vchod do prostorů čekárny, jinde není potřeba.</w:t>
      </w:r>
    </w:p>
    <w:p w:rsidR="0063208D" w:rsidRDefault="0063208D" w:rsidP="0063208D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informace o tom, zda a v jakých částech dokumentace jsou zohledněny podmínky závazných stanovisek dotčených orgánů</w:t>
      </w:r>
    </w:p>
    <w:p w:rsidR="0063208D" w:rsidRDefault="00A00499" w:rsidP="0063208D">
      <w:r>
        <w:rPr>
          <w:rFonts w:cs="Arial"/>
        </w:rPr>
        <w:t>Úpravy objektu</w:t>
      </w:r>
      <w:r w:rsidR="00DA4D5E" w:rsidRPr="006E2E9E">
        <w:rPr>
          <w:rFonts w:cs="Arial"/>
        </w:rPr>
        <w:t xml:space="preserve"> j</w:t>
      </w:r>
      <w:r>
        <w:rPr>
          <w:rFonts w:cs="Arial"/>
        </w:rPr>
        <w:t>sou</w:t>
      </w:r>
      <w:r w:rsidR="00DA4D5E" w:rsidRPr="006E2E9E">
        <w:rPr>
          <w:rFonts w:cs="Arial"/>
        </w:rPr>
        <w:t xml:space="preserve"> navržen</w:t>
      </w:r>
      <w:r>
        <w:rPr>
          <w:rFonts w:cs="Arial"/>
        </w:rPr>
        <w:t>y</w:t>
      </w:r>
      <w:r w:rsidR="00DA4D5E" w:rsidRPr="006E2E9E">
        <w:rPr>
          <w:rFonts w:cs="Arial"/>
        </w:rPr>
        <w:t xml:space="preserve"> v souladu s podmínkami dotčených orgánů státní správy. Žádné jiné podmínky nejsou pro </w:t>
      </w:r>
      <w:r>
        <w:rPr>
          <w:rFonts w:cs="Arial"/>
        </w:rPr>
        <w:t>úpravu</w:t>
      </w:r>
      <w:r w:rsidR="00DA4D5E" w:rsidRPr="006E2E9E">
        <w:rPr>
          <w:rFonts w:cs="Arial"/>
        </w:rPr>
        <w:t xml:space="preserve"> stanoveny.</w:t>
      </w:r>
    </w:p>
    <w:p w:rsidR="00977D62" w:rsidRDefault="00977D62" w:rsidP="00E96783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ochrana stavby podle jiných právních předpisů</w:t>
      </w:r>
      <w:r w:rsidR="00E96783">
        <w:rPr>
          <w:shd w:val="clear" w:color="auto" w:fill="FFFFFF"/>
        </w:rPr>
        <w:t xml:space="preserve"> (např.</w:t>
      </w:r>
      <w:r w:rsidR="00E96783" w:rsidRPr="00E96783">
        <w:rPr>
          <w:shd w:val="clear" w:color="auto" w:fill="FFFFFF"/>
        </w:rPr>
        <w:t xml:space="preserve"> zákon č. 20/1987 Sb., o státní památkové péči, ve znění pozdějších předpisů, zákon č. 114/1992 Sb., o ochraně přírody a krajiny, ve znění pozdějších předpisů</w:t>
      </w:r>
      <w:r w:rsidR="00E96783">
        <w:rPr>
          <w:shd w:val="clear" w:color="auto" w:fill="FFFFFF"/>
        </w:rPr>
        <w:t>)</w:t>
      </w:r>
    </w:p>
    <w:p w:rsidR="00977D62" w:rsidRPr="00977D62" w:rsidRDefault="00A00499" w:rsidP="00977D62">
      <w:r>
        <w:t>Úprava objektu</w:t>
      </w:r>
      <w:r w:rsidR="00977D62">
        <w:t xml:space="preserve"> nevyžaduje speciální ochranu podle jiných právních předpisů.</w:t>
      </w:r>
    </w:p>
    <w:p w:rsidR="0063208D" w:rsidRPr="0063208D" w:rsidRDefault="0063208D" w:rsidP="0063208D">
      <w:pPr>
        <w:pStyle w:val="Nadpis4"/>
      </w:pPr>
      <w:r w:rsidRPr="0063208D">
        <w:lastRenderedPageBreak/>
        <w:t>navrhované parametry stavby - zastavěná plocha, obestavěný prostor, užitná plocha, počet funkčních jednotek a jejich velikosti apod.</w:t>
      </w:r>
    </w:p>
    <w:p w:rsidR="00A00499" w:rsidRDefault="00A00499" w:rsidP="00A00499">
      <w:pPr>
        <w:pStyle w:val="Text"/>
        <w:keepNext/>
        <w:tabs>
          <w:tab w:val="left" w:pos="3969"/>
        </w:tabs>
        <w:spacing w:before="240"/>
      </w:pPr>
      <w:r>
        <w:t>Stávající kapacity:</w:t>
      </w:r>
    </w:p>
    <w:p w:rsidR="00A00499" w:rsidRPr="001527D9" w:rsidRDefault="00A00499" w:rsidP="00A00499">
      <w:pPr>
        <w:pStyle w:val="Text"/>
        <w:tabs>
          <w:tab w:val="left" w:pos="3969"/>
        </w:tabs>
      </w:pPr>
      <w:r>
        <w:t>zastavěná plocha:</w:t>
      </w:r>
      <w:r>
        <w:tab/>
        <w:t>267,6</w:t>
      </w:r>
      <w:r w:rsidRPr="00002B7B">
        <w:t> </w:t>
      </w:r>
      <w:r w:rsidRPr="001527D9">
        <w:t>m</w:t>
      </w:r>
      <w:r w:rsidRPr="001527D9">
        <w:rPr>
          <w:vertAlign w:val="superscript"/>
        </w:rPr>
        <w:t>2</w:t>
      </w:r>
    </w:p>
    <w:p w:rsidR="00A00499" w:rsidRPr="00E96783" w:rsidRDefault="00A00499" w:rsidP="00A00499">
      <w:pPr>
        <w:pStyle w:val="Text"/>
        <w:tabs>
          <w:tab w:val="left" w:pos="3969"/>
        </w:tabs>
      </w:pPr>
      <w:r>
        <w:t>obestavěný prostor:</w:t>
      </w:r>
      <w:r>
        <w:tab/>
      </w:r>
      <w:r w:rsidRPr="00002B7B">
        <w:t>~</w:t>
      </w:r>
      <w:r>
        <w:t>1800</w:t>
      </w:r>
      <w:r w:rsidRPr="00002B7B">
        <w:t> </w:t>
      </w:r>
      <w:r w:rsidRPr="001527D9">
        <w:t>m</w:t>
      </w:r>
      <w:r w:rsidRPr="001527D9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(celý objekt bez základů)</w:t>
      </w:r>
    </w:p>
    <w:p w:rsidR="00A00499" w:rsidRDefault="00A00499" w:rsidP="00A00499">
      <w:pPr>
        <w:pStyle w:val="Text"/>
        <w:tabs>
          <w:tab w:val="left" w:pos="3969"/>
        </w:tabs>
        <w:rPr>
          <w:vertAlign w:val="superscript"/>
        </w:rPr>
      </w:pPr>
      <w:r w:rsidRPr="001527D9">
        <w:t>užitná plocha</w:t>
      </w:r>
      <w:r>
        <w:t>:</w:t>
      </w:r>
      <w:r>
        <w:tab/>
        <w:t>363,3</w:t>
      </w:r>
      <w:r w:rsidRPr="00002B7B">
        <w:t> </w:t>
      </w:r>
      <w:r w:rsidRPr="001527D9">
        <w:t>m</w:t>
      </w:r>
      <w:r w:rsidRPr="001527D9">
        <w:rPr>
          <w:vertAlign w:val="superscript"/>
        </w:rPr>
        <w:t>2</w:t>
      </w:r>
    </w:p>
    <w:p w:rsidR="00A00499" w:rsidRDefault="00A00499" w:rsidP="00A00499">
      <w:pPr>
        <w:pStyle w:val="Text"/>
        <w:tabs>
          <w:tab w:val="left" w:pos="3969"/>
        </w:tabs>
        <w:ind w:left="3969" w:hanging="3402"/>
      </w:pPr>
      <w:r>
        <w:t>počet funkčních jednotek:</w:t>
      </w:r>
      <w:r>
        <w:tab/>
        <w:t>2 byty (2 – 4 osoby/1 byt) + prostory pro provoz nádraží</w:t>
      </w:r>
    </w:p>
    <w:p w:rsidR="00A00499" w:rsidRDefault="00A00499" w:rsidP="00A00499">
      <w:pPr>
        <w:pStyle w:val="Text"/>
        <w:tabs>
          <w:tab w:val="left" w:pos="3969"/>
        </w:tabs>
        <w:rPr>
          <w:vertAlign w:val="superscript"/>
        </w:rPr>
      </w:pPr>
      <w:r>
        <w:t>Byt 1:</w:t>
      </w:r>
      <w:r>
        <w:tab/>
        <w:t>užitná plocha 66,38</w:t>
      </w:r>
      <w:r w:rsidRPr="00002B7B">
        <w:t> </w:t>
      </w:r>
      <w:r w:rsidRPr="001527D9">
        <w:t>m</w:t>
      </w:r>
      <w:r w:rsidRPr="001527D9">
        <w:rPr>
          <w:vertAlign w:val="superscript"/>
        </w:rPr>
        <w:t>2</w:t>
      </w:r>
    </w:p>
    <w:p w:rsidR="00A00499" w:rsidRDefault="00A00499" w:rsidP="00A00499">
      <w:pPr>
        <w:pStyle w:val="Text"/>
        <w:tabs>
          <w:tab w:val="left" w:pos="3969"/>
        </w:tabs>
      </w:pPr>
      <w:r>
        <w:t>Byt 2:</w:t>
      </w:r>
      <w:r>
        <w:tab/>
        <w:t>užitná plocha 105,85</w:t>
      </w:r>
      <w:r w:rsidRPr="00002B7B">
        <w:t> </w:t>
      </w:r>
      <w:r w:rsidRPr="001527D9">
        <w:t>m</w:t>
      </w:r>
      <w:r w:rsidRPr="001527D9">
        <w:rPr>
          <w:vertAlign w:val="superscript"/>
        </w:rPr>
        <w:t>2</w:t>
      </w:r>
    </w:p>
    <w:p w:rsidR="00A00499" w:rsidRDefault="00A00499" w:rsidP="00A00499">
      <w:pPr>
        <w:pStyle w:val="Text"/>
        <w:tabs>
          <w:tab w:val="left" w:pos="3969"/>
        </w:tabs>
        <w:rPr>
          <w:vertAlign w:val="superscript"/>
        </w:rPr>
      </w:pPr>
      <w:r>
        <w:t>Prostory nádraží</w:t>
      </w:r>
      <w:r>
        <w:tab/>
        <w:t>užitná plocha 125,97</w:t>
      </w:r>
      <w:r w:rsidRPr="00002B7B">
        <w:t> </w:t>
      </w:r>
      <w:r w:rsidRPr="001527D9">
        <w:t>m</w:t>
      </w:r>
      <w:r w:rsidRPr="001527D9">
        <w:rPr>
          <w:vertAlign w:val="superscript"/>
        </w:rPr>
        <w:t>2</w:t>
      </w:r>
    </w:p>
    <w:p w:rsidR="00A00499" w:rsidRPr="00A00499" w:rsidRDefault="00A00499" w:rsidP="00A00499">
      <w:pPr>
        <w:pStyle w:val="Text"/>
        <w:tabs>
          <w:tab w:val="left" w:pos="3969"/>
        </w:tabs>
      </w:pPr>
      <w:r>
        <w:t>Ostatní (suterén, schodiště)</w:t>
      </w:r>
      <w:r>
        <w:tab/>
        <w:t>užitná plocha 65,10</w:t>
      </w:r>
      <w:r w:rsidRPr="00002B7B">
        <w:t> </w:t>
      </w:r>
      <w:r w:rsidRPr="001527D9">
        <w:t>m</w:t>
      </w:r>
      <w:r w:rsidRPr="00A00499">
        <w:t>2</w:t>
      </w:r>
    </w:p>
    <w:p w:rsidR="00977D62" w:rsidRDefault="00977D62" w:rsidP="00A00499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základní bilance stavby - potřeby a spotřeby médií a hmot, hospodaření s dešťovou vodou, celkové produkované množství a druhy odpadů a emisí, třída energetické náročnosti budov apod.</w:t>
      </w:r>
    </w:p>
    <w:p w:rsidR="00575586" w:rsidRPr="008E1968" w:rsidRDefault="00A00499" w:rsidP="00EB3F8D">
      <w:pPr>
        <w:spacing w:before="0"/>
      </w:pPr>
      <w:r>
        <w:t>Úpravou objektu se potřeby a spotřeby médií a hmot nezmění.</w:t>
      </w:r>
    </w:p>
    <w:p w:rsidR="00977D62" w:rsidRDefault="00977D62" w:rsidP="00977D62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základní předpoklady výstavby - časové údaje o realizaci stavby, členění na etapy</w:t>
      </w:r>
    </w:p>
    <w:p w:rsidR="00291ED3" w:rsidRPr="006E2E9E" w:rsidRDefault="00291ED3" w:rsidP="00123258">
      <w:pPr>
        <w:tabs>
          <w:tab w:val="left" w:pos="5670"/>
        </w:tabs>
        <w:spacing w:after="0"/>
      </w:pPr>
      <w:r w:rsidRPr="006E2E9E">
        <w:t>Předpokládané zahájení stavby:</w:t>
      </w:r>
      <w:r>
        <w:tab/>
      </w:r>
      <w:r w:rsidRPr="006E2E9E">
        <w:t>2</w:t>
      </w:r>
      <w:r>
        <w:t>01</w:t>
      </w:r>
      <w:r w:rsidR="00A00499">
        <w:t>9</w:t>
      </w:r>
    </w:p>
    <w:p w:rsidR="00291ED3" w:rsidRPr="006E2E9E" w:rsidRDefault="00291ED3" w:rsidP="00291ED3">
      <w:pPr>
        <w:tabs>
          <w:tab w:val="left" w:pos="5670"/>
        </w:tabs>
      </w:pPr>
      <w:r w:rsidRPr="006E2E9E">
        <w:t>Předpo</w:t>
      </w:r>
      <w:r>
        <w:t>kládané dokončení stavby:</w:t>
      </w:r>
      <w:r>
        <w:tab/>
        <w:t>20</w:t>
      </w:r>
      <w:r w:rsidR="00A00499">
        <w:t>20</w:t>
      </w:r>
    </w:p>
    <w:p w:rsidR="00575586" w:rsidRPr="00575586" w:rsidRDefault="00291ED3" w:rsidP="00291ED3">
      <w:r w:rsidRPr="006E2E9E">
        <w:t xml:space="preserve">Časový harmonogram stavby bude upřesněn </w:t>
      </w:r>
      <w:r w:rsidR="00A00499">
        <w:t>zhotovitelem stavebních úprav</w:t>
      </w:r>
      <w:r w:rsidRPr="006E2E9E">
        <w:t>, uvolnění</w:t>
      </w:r>
      <w:r w:rsidR="00A00499">
        <w:t>m</w:t>
      </w:r>
      <w:r w:rsidRPr="006E2E9E">
        <w:t xml:space="preserve"> prostředků na financování stavby, průběhu výběru zhotovitele stavby a smluvních lhůt na zhotovení stavby.</w:t>
      </w:r>
    </w:p>
    <w:p w:rsidR="00977D62" w:rsidRDefault="00977D62" w:rsidP="00977D62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orientační náklady stavby</w:t>
      </w:r>
    </w:p>
    <w:p w:rsidR="009944C8" w:rsidRPr="006E2E9E" w:rsidRDefault="009944C8" w:rsidP="009944C8">
      <w:r w:rsidRPr="006E2E9E">
        <w:t>Náklady stavby budou určeny výběrovým řízením na zhotovitele stavby.</w:t>
      </w:r>
    </w:p>
    <w:p w:rsidR="005A20A2" w:rsidRDefault="005A20A2" w:rsidP="005A20A2">
      <w:pPr>
        <w:pStyle w:val="Nadpis3"/>
      </w:pPr>
      <w:r>
        <w:t>Celkové urbanistické a architektonické řešení</w:t>
      </w:r>
    </w:p>
    <w:p w:rsidR="005A20A2" w:rsidRDefault="005A20A2" w:rsidP="005A20A2">
      <w:pPr>
        <w:pStyle w:val="Nadpis4"/>
      </w:pPr>
      <w:r>
        <w:t>urbanismus - územní regulace, kompozice prostorového řešení</w:t>
      </w:r>
    </w:p>
    <w:p w:rsidR="00A00499" w:rsidRPr="00C21927" w:rsidRDefault="00A00499" w:rsidP="00A00499">
      <w:pPr>
        <w:pStyle w:val="Text"/>
      </w:pPr>
      <w:proofErr w:type="gramStart"/>
      <w:r w:rsidRPr="00C21927">
        <w:t xml:space="preserve">Pozemek </w:t>
      </w:r>
      <w:r>
        <w:t>na</w:t>
      </w:r>
      <w:proofErr w:type="gramEnd"/>
      <w:r>
        <w:t xml:space="preserve"> kterém se objekt nachází je situován ve střední</w:t>
      </w:r>
      <w:r w:rsidRPr="00C21927">
        <w:t xml:space="preserve"> části obce </w:t>
      </w:r>
      <w:r>
        <w:t>Nová Ves</w:t>
      </w:r>
      <w:r w:rsidRPr="00C21927">
        <w:t>, v klidové část</w:t>
      </w:r>
      <w:r>
        <w:t>i s rodinnými domy a zahradami.</w:t>
      </w:r>
    </w:p>
    <w:p w:rsidR="00A00499" w:rsidRPr="00C21927" w:rsidRDefault="00A00499" w:rsidP="00A00499">
      <w:pPr>
        <w:pStyle w:val="Text"/>
        <w:rPr>
          <w:szCs w:val="22"/>
        </w:rPr>
      </w:pPr>
      <w:r>
        <w:rPr>
          <w:szCs w:val="22"/>
        </w:rPr>
        <w:t>Objekt</w:t>
      </w:r>
      <w:r w:rsidRPr="00C21927">
        <w:rPr>
          <w:szCs w:val="22"/>
        </w:rPr>
        <w:t xml:space="preserve"> je v souladu s územním plánem obce, pozemek</w:t>
      </w:r>
      <w:r>
        <w:rPr>
          <w:szCs w:val="22"/>
        </w:rPr>
        <w:t xml:space="preserve"> se nachází v zastavěném území.</w:t>
      </w:r>
    </w:p>
    <w:p w:rsidR="00A00499" w:rsidRDefault="00A00499" w:rsidP="00A00499">
      <w:pPr>
        <w:pStyle w:val="Text"/>
        <w:rPr>
          <w:szCs w:val="22"/>
        </w:rPr>
      </w:pPr>
      <w:r>
        <w:rPr>
          <w:szCs w:val="22"/>
        </w:rPr>
        <w:t xml:space="preserve">Objekt stojí na plně zastavěném pozemku v blízkém kontaktu s železniční dráhou. </w:t>
      </w:r>
      <w:r w:rsidRPr="00C21927">
        <w:rPr>
          <w:szCs w:val="22"/>
        </w:rPr>
        <w:t xml:space="preserve">Pozemek </w:t>
      </w:r>
      <w:r>
        <w:rPr>
          <w:szCs w:val="22"/>
        </w:rPr>
        <w:t>není oplocen.</w:t>
      </w:r>
    </w:p>
    <w:p w:rsidR="005A20A2" w:rsidRDefault="005A20A2" w:rsidP="005A20A2">
      <w:pPr>
        <w:pStyle w:val="Nadpis4"/>
      </w:pPr>
      <w:r>
        <w:t>architektonické řešení - kompozice tvarového řešení, materiálové a barevné řešení</w:t>
      </w:r>
    </w:p>
    <w:p w:rsidR="00A00499" w:rsidRDefault="00A00499" w:rsidP="002B047D">
      <w:r w:rsidRPr="00170148">
        <w:t xml:space="preserve">Architektonické řešení </w:t>
      </w:r>
      <w:r>
        <w:t>objektu dokládá vzhled nádražního domku z prvorepublikového období</w:t>
      </w:r>
      <w:r w:rsidRPr="00170148">
        <w:t xml:space="preserve">. </w:t>
      </w:r>
      <w:r>
        <w:t>Stávající objekt je členěný na dvě části, hlavní část a část nižšího přístavku. Hlavní část</w:t>
      </w:r>
      <w:r w:rsidRPr="00170148">
        <w:t xml:space="preserve"> </w:t>
      </w:r>
      <w:r>
        <w:t xml:space="preserve">je půdorysného tvaru obdélníku o rozměrech 11,8 </w:t>
      </w:r>
      <w:r w:rsidRPr="00170148">
        <w:t xml:space="preserve">× </w:t>
      </w:r>
      <w:r>
        <w:t>14</w:t>
      </w:r>
      <w:r w:rsidRPr="00170148">
        <w:t> m</w:t>
      </w:r>
      <w:r>
        <w:t xml:space="preserve"> a přístavek půdorysného tvaru L s rozměry</w:t>
      </w:r>
      <w:r w:rsidRPr="00170148">
        <w:t xml:space="preserve"> </w:t>
      </w:r>
      <w:r>
        <w:t xml:space="preserve">11,5 </w:t>
      </w:r>
      <w:r w:rsidRPr="00170148">
        <w:t xml:space="preserve">× </w:t>
      </w:r>
      <w:r>
        <w:t>10 </w:t>
      </w:r>
      <w:r w:rsidRPr="00170148">
        <w:t>m</w:t>
      </w:r>
      <w:r>
        <w:t>. Hlavní část je třípodlažní s </w:t>
      </w:r>
      <w:proofErr w:type="spellStart"/>
      <w:r>
        <w:t>dvěmi</w:t>
      </w:r>
      <w:proofErr w:type="spellEnd"/>
      <w:r>
        <w:t xml:space="preserve"> nadzemními podlažími a jedním podzemním podlažím, přístavek je jen jednopodlažní. Objekt je zastřešen sedlovou střechou s výškou hřebene hlavní části +7,86 m</w:t>
      </w:r>
      <w:r w:rsidRPr="00B92C86">
        <w:t xml:space="preserve"> </w:t>
      </w:r>
      <w:r w:rsidRPr="00170148">
        <w:t>od podlahy přízemí</w:t>
      </w:r>
      <w:r>
        <w:t xml:space="preserve"> a hřeben přístavku 4,4 m od </w:t>
      </w:r>
      <w:r w:rsidRPr="00170148">
        <w:t>podlahy přízemí</w:t>
      </w:r>
      <w:r>
        <w:t xml:space="preserve">. Fasáda je </w:t>
      </w:r>
      <w:r>
        <w:lastRenderedPageBreak/>
        <w:t xml:space="preserve">opatřena venkovní omítkou v žluté barvě s plastikovou bosáží na rozích objektu, nad okny a pod střechou na štítech v bílé barvě. Střešní krytina je keramická v cihlové barvě a krytina přístavku je z falcovaného plechu v červené barvě. Klempířské prvky jsou z pozinkovaného plechu. </w:t>
      </w:r>
      <w:r w:rsidRPr="00170148">
        <w:t>Výplně otvorů - vstupní dv</w:t>
      </w:r>
      <w:r>
        <w:t>eře a okna jsou dřevěná kromě již vyměněných oken v bytech podnájemníků, ty jsou plastové v hnědé barvě.</w:t>
      </w:r>
    </w:p>
    <w:p w:rsidR="00563CAB" w:rsidRDefault="00563CAB" w:rsidP="00C9576A">
      <w:pPr>
        <w:pStyle w:val="Nadpis3"/>
      </w:pPr>
      <w:r>
        <w:t>Celkové provozní řešení, technologie výroby</w:t>
      </w:r>
    </w:p>
    <w:p w:rsidR="00A00499" w:rsidRDefault="006940BD" w:rsidP="00A00499">
      <w:r>
        <w:t>Řešený objekt</w:t>
      </w:r>
      <w:r w:rsidR="00A00499" w:rsidRPr="00C21927">
        <w:t xml:space="preserve"> je dispozičně rozdělen na </w:t>
      </w:r>
      <w:r w:rsidR="00A00499">
        <w:t xml:space="preserve">dvě samostatné </w:t>
      </w:r>
      <w:r w:rsidR="00A00499" w:rsidRPr="00C21927">
        <w:t>jednotky</w:t>
      </w:r>
      <w:r w:rsidR="00A00499">
        <w:t>, jednotka pro bydlení a jednotka pro provoz nádraží.</w:t>
      </w:r>
    </w:p>
    <w:p w:rsidR="00A00499" w:rsidRPr="00C21927" w:rsidRDefault="00A00499" w:rsidP="00A00499">
      <w:r>
        <w:t xml:space="preserve">Z jihu je vstup do hlavní části s funkcí bydlení. V 1.NP se z hlavní chodby se schodištěm dostaneme do všech pater a do předsíně prvního bytu. Předsíň je napojena na WC, koupelnu a kuchyň, dále se z kuchyně dostaneme do dvou pokojů. V severní části ze zastřešeného nástupiště </w:t>
      </w:r>
      <w:proofErr w:type="gramStart"/>
      <w:r>
        <w:t>je</w:t>
      </w:r>
      <w:proofErr w:type="gramEnd"/>
      <w:r>
        <w:t xml:space="preserve"> vstup do prostorů vedení nádraží to jsou dvě kanceláře a zázemí v podobě koupelny. Ze zastřešeného nástupiště se dá dále dostat do čekárny v přístavku objektu a také k suchým WC ve východní části přístavku. V přístavku v 1.NP se ještě nachází dvě místnosti a jeden sklad. Ve 2.NP na chodbu navazuje předsíň druhého bytu a na ni je napojeno WC, koupelna, sklad, kuchyně s pokojem a hlavní pokoj s napojením na další dva pokoje. Z prostorů chodby se schodištěm se ještě dá dostat do skladu. </w:t>
      </w:r>
    </w:p>
    <w:p w:rsidR="00B160E3" w:rsidRPr="00575586" w:rsidRDefault="00A00499" w:rsidP="00A00499">
      <w:r w:rsidRPr="00C21927">
        <w:t>Z</w:t>
      </w:r>
      <w:r>
        <w:t> předsíně horního bytu</w:t>
      </w:r>
      <w:r w:rsidRPr="00C21927">
        <w:t xml:space="preserve"> je možný výlez </w:t>
      </w:r>
      <w:r>
        <w:t>do podstřešního prostoru, prostoru s krovem a zde je výlez na střechu pro revizi a čištění komínu.</w:t>
      </w:r>
    </w:p>
    <w:p w:rsidR="00563CAB" w:rsidRDefault="00563CAB" w:rsidP="00C9576A">
      <w:pPr>
        <w:pStyle w:val="Nadpis3"/>
      </w:pPr>
      <w:r>
        <w:t>Bezbariérové užívání stavby</w:t>
      </w:r>
    </w:p>
    <w:p w:rsidR="0036772D" w:rsidRPr="00C21927" w:rsidRDefault="00344014" w:rsidP="0036772D">
      <w:r>
        <w:t xml:space="preserve">Část objektu určená pro veřejnost splňuje vyhlášku </w:t>
      </w:r>
      <w:r w:rsidRPr="00C21927">
        <w:t>398/2009 Sb</w:t>
      </w:r>
      <w:r>
        <w:t>.</w:t>
      </w:r>
      <w:r w:rsidRPr="00C21927">
        <w:t xml:space="preserve"> obecně technické požadavky zabezpečujících bezbariérové užívání staveb. Žádné úpravy a opatření pro pohyb osob s omezením pohybu a orientace nejsou investorem požadovány</w:t>
      </w:r>
      <w:r>
        <w:t xml:space="preserve"> a stávající stav splňuje požadavky</w:t>
      </w:r>
      <w:r w:rsidRPr="00C21927">
        <w:t xml:space="preserve">. Bezbariérově je navržen pouze </w:t>
      </w:r>
      <w:r>
        <w:t>vchod do prostorů čekárny, jinde není potřeba</w:t>
      </w:r>
      <w:r w:rsidR="0036772D" w:rsidRPr="00C21927">
        <w:t>.</w:t>
      </w:r>
    </w:p>
    <w:p w:rsidR="00563CAB" w:rsidRDefault="00563CAB" w:rsidP="00C9576A">
      <w:pPr>
        <w:pStyle w:val="Nadpis3"/>
      </w:pPr>
      <w:r>
        <w:t>Bezpečnost při užívání stavby</w:t>
      </w:r>
    </w:p>
    <w:p w:rsidR="0036772D" w:rsidRPr="00C21927" w:rsidRDefault="006940BD" w:rsidP="0036772D">
      <w:r>
        <w:t xml:space="preserve">Udržovacími </w:t>
      </w:r>
      <w:proofErr w:type="spellStart"/>
      <w:r>
        <w:t>úracemi</w:t>
      </w:r>
      <w:proofErr w:type="spellEnd"/>
      <w:r w:rsidR="00344014">
        <w:t xml:space="preserve"> objektu se bezpečnost při užívání stavby nemění</w:t>
      </w:r>
      <w:r w:rsidR="0036772D" w:rsidRPr="00C21927">
        <w:t>.</w:t>
      </w:r>
    </w:p>
    <w:p w:rsidR="00563CAB" w:rsidRDefault="00563CAB" w:rsidP="00C9576A">
      <w:pPr>
        <w:pStyle w:val="Nadpis3"/>
      </w:pPr>
      <w:r>
        <w:t>Základní charakteristika objektů</w:t>
      </w:r>
    </w:p>
    <w:p w:rsidR="00534CA1" w:rsidRDefault="00534CA1" w:rsidP="00534CA1">
      <w:r>
        <w:t>Stavba je řešena jako jeden stavební objekt.</w:t>
      </w:r>
    </w:p>
    <w:p w:rsidR="00D0297F" w:rsidRDefault="00D0297F" w:rsidP="00D0297F">
      <w:pPr>
        <w:pStyle w:val="Nadpis4"/>
      </w:pPr>
      <w:r>
        <w:t>stavební řešení</w:t>
      </w:r>
    </w:p>
    <w:p w:rsidR="00D10515" w:rsidRDefault="00D10515" w:rsidP="003403CB">
      <w:r>
        <w:t>Hlavní část</w:t>
      </w:r>
      <w:r w:rsidRPr="00170148">
        <w:t xml:space="preserve"> </w:t>
      </w:r>
      <w:r>
        <w:t xml:space="preserve">je půdorysného tvaru obdélníku o rozměrech 11,8 </w:t>
      </w:r>
      <w:r w:rsidRPr="00170148">
        <w:t xml:space="preserve">× </w:t>
      </w:r>
      <w:r>
        <w:t>14</w:t>
      </w:r>
      <w:r w:rsidRPr="00170148">
        <w:t> m</w:t>
      </w:r>
      <w:r>
        <w:t xml:space="preserve"> a přístavek půdorysného tvaru L s rozměry</w:t>
      </w:r>
      <w:r w:rsidRPr="00170148">
        <w:t xml:space="preserve"> </w:t>
      </w:r>
      <w:r>
        <w:t xml:space="preserve">11,5 </w:t>
      </w:r>
      <w:r w:rsidRPr="00170148">
        <w:t xml:space="preserve">× </w:t>
      </w:r>
      <w:r>
        <w:t>10 </w:t>
      </w:r>
      <w:r w:rsidRPr="00170148">
        <w:t>m</w:t>
      </w:r>
      <w:r>
        <w:t>. Hlavní část je třípodlažní s </w:t>
      </w:r>
      <w:proofErr w:type="spellStart"/>
      <w:r>
        <w:t>dvěmi</w:t>
      </w:r>
      <w:proofErr w:type="spellEnd"/>
      <w:r>
        <w:t xml:space="preserve"> nadzemními podlažími a jedním podzemním podlažím, přístavek je jen jednopodlažní. Objekt je zastřešen sedlovou střechou s výškou hřebene hlavní části +7,86 m</w:t>
      </w:r>
      <w:r w:rsidRPr="00B92C86">
        <w:t xml:space="preserve"> </w:t>
      </w:r>
      <w:r w:rsidRPr="00170148">
        <w:t>od podlahy přízemí</w:t>
      </w:r>
      <w:r>
        <w:t xml:space="preserve"> a hřeben přístavku 4,4 m od </w:t>
      </w:r>
      <w:r w:rsidRPr="00170148">
        <w:t>podlahy přízemí</w:t>
      </w:r>
      <w:r>
        <w:t>.</w:t>
      </w:r>
    </w:p>
    <w:p w:rsidR="00D0297F" w:rsidRDefault="00D0297F" w:rsidP="00D0297F">
      <w:pPr>
        <w:pStyle w:val="Nadpis4"/>
      </w:pPr>
      <w:r>
        <w:t>konstrukční a materiálové řešení</w:t>
      </w:r>
    </w:p>
    <w:p w:rsidR="003403CB" w:rsidRPr="00C21927" w:rsidRDefault="003403CB" w:rsidP="003403CB">
      <w:r w:rsidRPr="00C21927">
        <w:t xml:space="preserve">Konstrukční a materiálové řešení objektu je podrobně popsáno v technických zprávách architektonicko-stavební a stavebně konstrukční části dokumentace. Vychází z obvyklých </w:t>
      </w:r>
      <w:r w:rsidRPr="00C21927">
        <w:lastRenderedPageBreak/>
        <w:t xml:space="preserve">stavebních technologií, které jsou navrženy pro dílčí části stavby pokud možno v </w:t>
      </w:r>
      <w:r w:rsidR="00D10515">
        <w:t>ucelených systémových řešeních.</w:t>
      </w:r>
    </w:p>
    <w:p w:rsidR="00D0297F" w:rsidRDefault="00D0297F" w:rsidP="00D0297F">
      <w:pPr>
        <w:pStyle w:val="Nadpis4"/>
      </w:pPr>
      <w:r>
        <w:t>mechanická odolnost a stabilita</w:t>
      </w:r>
    </w:p>
    <w:p w:rsidR="00757FE8" w:rsidRDefault="00757FE8" w:rsidP="00757FE8">
      <w:r w:rsidRPr="00C21927">
        <w:t>Mechanická odolnost a stabilita jsou doloženy v konstrukční části projektu, samostatně je přiložen statický výpočet.</w:t>
      </w:r>
    </w:p>
    <w:p w:rsidR="00235576" w:rsidRDefault="00235576" w:rsidP="00235576">
      <w:pPr>
        <w:pStyle w:val="Nadpis3"/>
      </w:pPr>
      <w:r>
        <w:t>Základní charakteristika technických a technologických zařízení</w:t>
      </w:r>
    </w:p>
    <w:p w:rsidR="00235576" w:rsidRDefault="00235576" w:rsidP="00235576">
      <w:pPr>
        <w:pStyle w:val="Nadpis4"/>
      </w:pPr>
      <w:r>
        <w:t>technické řešení</w:t>
      </w:r>
    </w:p>
    <w:p w:rsidR="00757FE8" w:rsidRPr="00C21927" w:rsidRDefault="00757FE8" w:rsidP="00757FE8">
      <w:r w:rsidRPr="00C21927">
        <w:t>Technické řešení</w:t>
      </w:r>
      <w:r w:rsidR="001D4508">
        <w:t xml:space="preserve"> stávajícího</w:t>
      </w:r>
      <w:r w:rsidRPr="00C21927">
        <w:t xml:space="preserve"> objektu odpovídá účelu stavby. Jednotlivé bytové jednotky</w:t>
      </w:r>
      <w:r w:rsidR="001D4508">
        <w:t xml:space="preserve"> a prostory nádraží</w:t>
      </w:r>
      <w:r w:rsidRPr="00C21927">
        <w:t xml:space="preserve"> </w:t>
      </w:r>
      <w:r w:rsidR="001D4508">
        <w:t>js</w:t>
      </w:r>
      <w:r w:rsidRPr="00C21927">
        <w:t xml:space="preserve">ou zásobovány potřebnými médii a elektrickou energií ze stávajících přípojek. Topení je </w:t>
      </w:r>
      <w:r w:rsidR="001D4508">
        <w:t>stávající</w:t>
      </w:r>
      <w:r w:rsidRPr="00C21927">
        <w:t xml:space="preserve"> teplovodní s nuceným oběhem. </w:t>
      </w:r>
      <w:r w:rsidR="001D4508">
        <w:t>Stávající s</w:t>
      </w:r>
      <w:r w:rsidRPr="00C21927">
        <w:t>ilnoproudá elektroinstalace je ve standar</w:t>
      </w:r>
      <w:r w:rsidR="001D4508">
        <w:t>dním provedení, hlavní rozvaděč</w:t>
      </w:r>
      <w:r w:rsidRPr="00C21927">
        <w:t xml:space="preserve"> </w:t>
      </w:r>
      <w:r w:rsidR="001D4508">
        <w:t>je</w:t>
      </w:r>
      <w:r w:rsidRPr="00C21927">
        <w:t xml:space="preserve"> umístěn </w:t>
      </w:r>
      <w:r w:rsidR="001D4508">
        <w:t>uvnitř objektu</w:t>
      </w:r>
      <w:r w:rsidRPr="00C21927">
        <w:t>.</w:t>
      </w:r>
      <w:r w:rsidR="001D4508">
        <w:t xml:space="preserve"> Nová elektroinstalace je jen jako doplnění ke stávající.</w:t>
      </w:r>
      <w:r w:rsidRPr="00C21927">
        <w:t xml:space="preserve"> </w:t>
      </w:r>
      <w:r w:rsidR="001D4508">
        <w:t>Nová e</w:t>
      </w:r>
      <w:r w:rsidRPr="00C21927">
        <w:t>lektroinstalace bude provedena kabely CYKY, uloženými pod omítkou.</w:t>
      </w:r>
    </w:p>
    <w:p w:rsidR="00FD6452" w:rsidRPr="00EB7D49" w:rsidRDefault="001979C5" w:rsidP="00F01B42">
      <w:pPr>
        <w:spacing w:line="276" w:lineRule="auto"/>
        <w:rPr>
          <w:rFonts w:cs="Arial"/>
        </w:rPr>
      </w:pPr>
      <w:r>
        <w:rPr>
          <w:rFonts w:eastAsia="Calibri Light" w:cs="Arial"/>
          <w:szCs w:val="22"/>
        </w:rPr>
        <w:t>Objekt</w:t>
      </w:r>
      <w:r w:rsidR="00CA1371" w:rsidRPr="00EB7D49">
        <w:rPr>
          <w:rFonts w:eastAsia="Calibri Light" w:cs="Arial"/>
          <w:szCs w:val="22"/>
        </w:rPr>
        <w:t xml:space="preserve"> klade důraz na vhodnou orientaci vůči světovým stranám (podíl solárních zisků).</w:t>
      </w:r>
    </w:p>
    <w:p w:rsidR="00235576" w:rsidRDefault="00235576" w:rsidP="00235576">
      <w:pPr>
        <w:pStyle w:val="Nadpis4"/>
      </w:pPr>
      <w:r>
        <w:t>výčet technických a technologických zařízení</w:t>
      </w:r>
    </w:p>
    <w:p w:rsidR="00757FE8" w:rsidRPr="00757FE8" w:rsidRDefault="001D4508" w:rsidP="00757FE8">
      <w:r>
        <w:rPr>
          <w:rFonts w:cs="Arial"/>
          <w:bCs/>
          <w:szCs w:val="22"/>
        </w:rPr>
        <w:t>Objekt</w:t>
      </w:r>
      <w:r w:rsidR="00757FE8" w:rsidRPr="00C21927">
        <w:rPr>
          <w:rFonts w:cs="Arial"/>
          <w:bCs/>
          <w:szCs w:val="22"/>
        </w:rPr>
        <w:t xml:space="preserve"> neobsahuje žádná technologická či výrobní zařízení.</w:t>
      </w:r>
    </w:p>
    <w:p w:rsidR="00757FE8" w:rsidRDefault="00757FE8" w:rsidP="00757FE8">
      <w:pPr>
        <w:pStyle w:val="Nadpis3"/>
        <w:rPr>
          <w:shd w:val="clear" w:color="auto" w:fill="FFFFFF"/>
        </w:rPr>
      </w:pPr>
      <w:r>
        <w:rPr>
          <w:shd w:val="clear" w:color="auto" w:fill="FFFFFF"/>
        </w:rPr>
        <w:t>Zásady požárně bezpečnostního řešení</w:t>
      </w:r>
    </w:p>
    <w:p w:rsidR="00757FE8" w:rsidRPr="00C21927" w:rsidRDefault="006940BD" w:rsidP="00757FE8">
      <w:r>
        <w:t>Udržovací práce</w:t>
      </w:r>
      <w:r w:rsidR="001D4508">
        <w:t xml:space="preserve"> objektu nemění stávající požární řešení stavby.</w:t>
      </w:r>
    </w:p>
    <w:p w:rsidR="00FD6452" w:rsidRDefault="004E26DA" w:rsidP="004E26DA">
      <w:pPr>
        <w:pStyle w:val="Nadpis3"/>
      </w:pPr>
      <w:r w:rsidRPr="004E26DA">
        <w:t>Úspora energie a tepelná ochrana</w:t>
      </w:r>
    </w:p>
    <w:p w:rsidR="001D4508" w:rsidRDefault="001D4508" w:rsidP="002D0608">
      <w:r>
        <w:t xml:space="preserve">Z důvodu </w:t>
      </w:r>
      <w:r w:rsidR="00FD1D04">
        <w:t xml:space="preserve">rozsahu </w:t>
      </w:r>
      <w:r w:rsidR="006940BD">
        <w:t>udržovacích prací</w:t>
      </w:r>
      <w:r w:rsidR="00FD1D04">
        <w:t xml:space="preserve"> nebyl proveden „Průkaz</w:t>
      </w:r>
      <w:r w:rsidR="00FD1D04" w:rsidRPr="00C21927">
        <w:t xml:space="preserve"> energetické náročnosti budovy“ (PENB)</w:t>
      </w:r>
      <w:r w:rsidR="00FD1D04">
        <w:t>.</w:t>
      </w:r>
    </w:p>
    <w:p w:rsidR="002D0608" w:rsidRPr="00C21927" w:rsidRDefault="002D0608" w:rsidP="002D0608">
      <w:r w:rsidRPr="00C21927">
        <w:t>K</w:t>
      </w:r>
      <w:r w:rsidR="00FD1D04">
        <w:t xml:space="preserve"> novému </w:t>
      </w:r>
      <w:r w:rsidRPr="00C21927">
        <w:t>osvětlení jsou navržena svítidla s úspornými zdroji.</w:t>
      </w:r>
      <w:r>
        <w:t xml:space="preserve"> </w:t>
      </w:r>
      <w:r w:rsidRPr="00C21927">
        <w:t>Nově pořizované spotřebiče budou úsporné (kategorie A nebo lepší).</w:t>
      </w:r>
    </w:p>
    <w:p w:rsidR="00FD6452" w:rsidRPr="00FD6452" w:rsidRDefault="002D0608" w:rsidP="002D0608">
      <w:r w:rsidRPr="00C21927">
        <w:t xml:space="preserve">Vzhledem k rozsahu a charakteru </w:t>
      </w:r>
      <w:r w:rsidR="006940BD">
        <w:t>udržovacích prací</w:t>
      </w:r>
      <w:r w:rsidR="00FD1D04">
        <w:t xml:space="preserve"> </w:t>
      </w:r>
      <w:r w:rsidRPr="00C21927">
        <w:t>stavby nejsou zásady hospodaření s energiemi dále řešeny.</w:t>
      </w:r>
    </w:p>
    <w:p w:rsidR="00FD6452" w:rsidRDefault="00FD6452" w:rsidP="00FD6452">
      <w:pPr>
        <w:pStyle w:val="Nadpis3"/>
      </w:pPr>
      <w:r>
        <w:t>Hygienické požadavky na stavby, požadavky na pracovní a komunální prostředí</w:t>
      </w:r>
    </w:p>
    <w:p w:rsidR="00FD6452" w:rsidRPr="009D7835" w:rsidRDefault="00FD6452" w:rsidP="00FD6452">
      <w:pPr>
        <w:rPr>
          <w:rFonts w:cs="Arial"/>
          <w:i/>
          <w:color w:val="000000"/>
          <w:szCs w:val="22"/>
        </w:rPr>
      </w:pPr>
      <w:r w:rsidRPr="009D7835">
        <w:rPr>
          <w:rFonts w:cs="Arial"/>
          <w:i/>
          <w:color w:val="000000"/>
          <w:szCs w:val="22"/>
        </w:rPr>
        <w:t>Zásady řešení parametrů stavby (větrání, vytápění, osvětlení, zásobování vodou, odpadů apod.) a dále zásady řešení vlivu stavby na okolí (vibrace, hluk, prašnost apod.)</w:t>
      </w:r>
    </w:p>
    <w:p w:rsidR="003B38BF" w:rsidRPr="00C21927" w:rsidRDefault="003B38BF" w:rsidP="003B38BF">
      <w:r w:rsidRPr="00C21927">
        <w:t>Projektové řešení</w:t>
      </w:r>
      <w:r w:rsidR="00FD1D04">
        <w:t xml:space="preserve"> </w:t>
      </w:r>
      <w:r w:rsidR="006940BD">
        <w:t>udržovacích prací</w:t>
      </w:r>
      <w:r w:rsidRPr="00C21927">
        <w:t xml:space="preserve"> vychází z požadavků platných předpisů pro příslušný typologický druh stavby.</w:t>
      </w:r>
    </w:p>
    <w:p w:rsidR="001D4E47" w:rsidRDefault="004D4117" w:rsidP="00F27B53">
      <w:r>
        <w:t>Navrhovan</w:t>
      </w:r>
      <w:r w:rsidR="00FD1D04">
        <w:t xml:space="preserve">é </w:t>
      </w:r>
      <w:r w:rsidR="006940BD">
        <w:t>udržovací práce</w:t>
      </w:r>
      <w:r w:rsidR="00FD1D04">
        <w:t xml:space="preserve"> jsou </w:t>
      </w:r>
      <w:r w:rsidR="001D4E47">
        <w:t>v souladu s podmínkami hygienických norem a předpisů, stavebního zákona a prováděcích vyhlášek.</w:t>
      </w:r>
    </w:p>
    <w:p w:rsidR="001D4E47" w:rsidRDefault="001D4E47" w:rsidP="00F27B53">
      <w:r>
        <w:t xml:space="preserve">Veškeré místnosti jsou větrány přirozeným způsobem </w:t>
      </w:r>
      <w:r w:rsidR="00FA1CDE">
        <w:t xml:space="preserve">dveřními </w:t>
      </w:r>
      <w:r w:rsidR="004D4117">
        <w:t xml:space="preserve">a okenními </w:t>
      </w:r>
      <w:r w:rsidR="00FA1CDE">
        <w:t>otvory</w:t>
      </w:r>
      <w:r w:rsidR="00AF08B6">
        <w:t>.</w:t>
      </w:r>
    </w:p>
    <w:p w:rsidR="00AF08B6" w:rsidRDefault="001D4E47" w:rsidP="00F27B53">
      <w:r>
        <w:t xml:space="preserve">Osvětlení </w:t>
      </w:r>
      <w:r w:rsidR="00FD1D04">
        <w:t>prostor zůstává neměnné.</w:t>
      </w:r>
    </w:p>
    <w:p w:rsidR="001D4E47" w:rsidRDefault="001D4E47" w:rsidP="00F27B53">
      <w:r>
        <w:lastRenderedPageBreak/>
        <w:t>Materiály, konstrukce a detaily, technická řešení a zařízení, které pro</w:t>
      </w:r>
      <w:r w:rsidR="004E26DA">
        <w:t>jekt přesně nespecifikuje, mus</w:t>
      </w:r>
      <w:r>
        <w:t>í svou skladbou, provedením a parametry odpovídat platným normám a dalším legislativním poža</w:t>
      </w:r>
      <w:r w:rsidR="004E26DA">
        <w:t>davkům. Ustanovení vyplývající</w:t>
      </w:r>
      <w:r>
        <w:t xml:space="preserve"> z norem,</w:t>
      </w:r>
      <w:r w:rsidRPr="001C2EFE">
        <w:t xml:space="preserve"> PBŘS</w:t>
      </w:r>
      <w:r>
        <w:t xml:space="preserve">, akustických či hygienických požadavků mají přednost před </w:t>
      </w:r>
      <w:r w:rsidR="004E26DA">
        <w:t>použitými</w:t>
      </w:r>
      <w:r>
        <w:t xml:space="preserve"> materiály.</w:t>
      </w:r>
    </w:p>
    <w:p w:rsidR="001D4E47" w:rsidRDefault="00F27B53" w:rsidP="00F27B53">
      <w:r>
        <w:t xml:space="preserve">Likvidace komunálního odpadu </w:t>
      </w:r>
      <w:r w:rsidR="00FD1D04">
        <w:t>je</w:t>
      </w:r>
      <w:r w:rsidR="004D4117">
        <w:t xml:space="preserve"> do kontejnerů na zpevněné ploše </w:t>
      </w:r>
      <w:r w:rsidR="00FD1D04">
        <w:t>poblíž objektu</w:t>
      </w:r>
      <w:r>
        <w:t>.</w:t>
      </w:r>
    </w:p>
    <w:p w:rsidR="001D4E47" w:rsidRDefault="00FD1D04" w:rsidP="001D4E47">
      <w:pPr>
        <w:spacing w:line="276" w:lineRule="auto"/>
      </w:pPr>
      <w:r>
        <w:t>K vzniku</w:t>
      </w:r>
      <w:r w:rsidR="001D4E47">
        <w:t xml:space="preserve"> nebezpečného odpadu se ne</w:t>
      </w:r>
      <w:r>
        <w:t>dochází</w:t>
      </w:r>
      <w:r w:rsidR="001D4E47">
        <w:t>. S ostatními případnými odpady a nebezpečnými odpady se naklád</w:t>
      </w:r>
      <w:r w:rsidR="004E26DA">
        <w:t>á</w:t>
      </w:r>
      <w:r w:rsidR="001D4E47">
        <w:t xml:space="preserve"> v souladu se zákonem o odpadech v platném znění (ustanovení vyhlášky č. 383/2001 Sb.).</w:t>
      </w:r>
    </w:p>
    <w:p w:rsidR="00DA03AA" w:rsidRDefault="00DA03AA" w:rsidP="001D4E47">
      <w:pPr>
        <w:spacing w:line="276" w:lineRule="auto"/>
      </w:pPr>
      <w:r>
        <w:t>Připojení na kanalizaci, vodovod, sdělovací sítě, elektrickou síť zůstává neměnné. Provede se jen dodatečná elektroinstalace na některých místech a kompletní obnovení hromosvodu s uzemněním.</w:t>
      </w:r>
    </w:p>
    <w:p w:rsidR="00FD6452" w:rsidRPr="00F359FF" w:rsidRDefault="00FD6452" w:rsidP="00F359FF">
      <w:pPr>
        <w:pStyle w:val="Nadpis3"/>
      </w:pPr>
      <w:r w:rsidRPr="00F359FF">
        <w:t>Ochrana stavby před negativními účinky vnějšího prostředí</w:t>
      </w:r>
    </w:p>
    <w:p w:rsidR="00FD6452" w:rsidRDefault="00FD6452" w:rsidP="00FD6452">
      <w:pPr>
        <w:pStyle w:val="Nadpis4"/>
      </w:pPr>
      <w:r>
        <w:t>ochrana před pronikáním radonu z podloží</w:t>
      </w:r>
    </w:p>
    <w:p w:rsidR="00F27B53" w:rsidRPr="004836FA" w:rsidRDefault="00123258" w:rsidP="00F27B53">
      <w:r w:rsidRPr="004836FA">
        <w:t xml:space="preserve">Radonový průzkum </w:t>
      </w:r>
      <w:r w:rsidR="00DA03AA">
        <w:t>nebyl z důvodu rozsahu stavebních úprav proveden</w:t>
      </w:r>
      <w:r w:rsidR="003D6854" w:rsidRPr="004836FA">
        <w:t>.</w:t>
      </w:r>
    </w:p>
    <w:p w:rsidR="00FD6452" w:rsidRDefault="00FD6452" w:rsidP="00F27B53">
      <w:pPr>
        <w:pStyle w:val="Nadpis4"/>
      </w:pPr>
      <w:r>
        <w:t>ochrana před bludnými proudy</w:t>
      </w:r>
    </w:p>
    <w:p w:rsidR="00153265" w:rsidRPr="00C21927" w:rsidRDefault="00153265" w:rsidP="00153265">
      <w:r w:rsidRPr="00C21927">
        <w:t>V místě stavby nejsou bludné proudy zaznamenány.</w:t>
      </w:r>
    </w:p>
    <w:p w:rsidR="00FD6452" w:rsidRDefault="00FD6452" w:rsidP="00FD6452">
      <w:pPr>
        <w:pStyle w:val="Nadpis4"/>
      </w:pPr>
      <w:r>
        <w:t>ochrana před technickou seizmicitou</w:t>
      </w:r>
    </w:p>
    <w:p w:rsidR="00895355" w:rsidRDefault="00895355" w:rsidP="00895355">
      <w:pPr>
        <w:spacing w:line="276" w:lineRule="auto"/>
      </w:pPr>
      <w:r>
        <w:t>Z dostupných zdrojů nejsou informace o existenci technické seizmicity v dan</w:t>
      </w:r>
      <w:r w:rsidR="00DA03AA">
        <w:t>é lokalitě.</w:t>
      </w:r>
    </w:p>
    <w:p w:rsidR="00FD6452" w:rsidRDefault="00FD6452" w:rsidP="00FD6452">
      <w:pPr>
        <w:pStyle w:val="Nadpis4"/>
      </w:pPr>
      <w:r>
        <w:t>ochrana před hlukem</w:t>
      </w:r>
    </w:p>
    <w:p w:rsidR="00AB1FAB" w:rsidRPr="004B7AF8" w:rsidRDefault="00A20306" w:rsidP="00DA03AA">
      <w:pPr>
        <w:spacing w:line="276" w:lineRule="auto"/>
      </w:pPr>
      <w:r>
        <w:t>Udržovacími pracemi</w:t>
      </w:r>
      <w:r w:rsidR="00DA03AA">
        <w:t xml:space="preserve"> nedojde ke změně akustických vlastností stavby. </w:t>
      </w:r>
      <w:r w:rsidR="00AB1FAB" w:rsidRPr="004B7AF8">
        <w:t>Akustické konst</w:t>
      </w:r>
      <w:r w:rsidR="00AB1FAB">
        <w:t>rukce ne</w:t>
      </w:r>
      <w:r w:rsidR="00885AEC">
        <w:t>jsou</w:t>
      </w:r>
      <w:r w:rsidR="00AB1FAB">
        <w:t xml:space="preserve"> nijak </w:t>
      </w:r>
      <w:r w:rsidR="00885AEC">
        <w:t>narušeny ani oslabeny</w:t>
      </w:r>
      <w:r w:rsidR="00AB1FAB">
        <w:t>.</w:t>
      </w:r>
    </w:p>
    <w:p w:rsidR="00FD6452" w:rsidRDefault="00FD6452" w:rsidP="00FD6452">
      <w:pPr>
        <w:pStyle w:val="Nadpis4"/>
      </w:pPr>
      <w:r>
        <w:t>protipovodňová opatření</w:t>
      </w:r>
    </w:p>
    <w:p w:rsidR="00FD6452" w:rsidRDefault="0080102C" w:rsidP="00170114">
      <w:r>
        <w:t>Objekt</w:t>
      </w:r>
      <w:r w:rsidR="00DA03AA">
        <w:t xml:space="preserve"> leží mimo záplavové území</w:t>
      </w:r>
      <w:r w:rsidR="00170114">
        <w:t>.</w:t>
      </w:r>
    </w:p>
    <w:p w:rsidR="00D87D1B" w:rsidRDefault="00D87D1B" w:rsidP="00D87D1B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ostatní účinky - vliv poddolování, výskyt metanu apod.</w:t>
      </w:r>
    </w:p>
    <w:p w:rsidR="00CC0C10" w:rsidRPr="00C21927" w:rsidRDefault="00CC0C10" w:rsidP="00CC0C10">
      <w:r w:rsidRPr="00C21927">
        <w:t>Jiné negativní účinky podloží stavby (poddolování, výskyt metanu) nebyly zjištěny.</w:t>
      </w:r>
    </w:p>
    <w:p w:rsidR="00170114" w:rsidRDefault="00170114" w:rsidP="00170114">
      <w:pPr>
        <w:pStyle w:val="Nadpis2"/>
      </w:pPr>
      <w:bookmarkStart w:id="3" w:name="_Toc510707789"/>
      <w:r>
        <w:t>Připojení na technickou infrastrukturu</w:t>
      </w:r>
      <w:bookmarkEnd w:id="3"/>
    </w:p>
    <w:p w:rsidR="00170114" w:rsidRPr="00CC0C10" w:rsidRDefault="00170114" w:rsidP="00CC0C10">
      <w:pPr>
        <w:pStyle w:val="Nadpis4"/>
      </w:pPr>
      <w:proofErr w:type="spellStart"/>
      <w:r w:rsidRPr="00CC0C10">
        <w:t>napojovací</w:t>
      </w:r>
      <w:proofErr w:type="spellEnd"/>
      <w:r w:rsidRPr="00CC0C10">
        <w:t xml:space="preserve"> místa technické infrastruktury</w:t>
      </w:r>
    </w:p>
    <w:p w:rsidR="00CC0C10" w:rsidRPr="00C21927" w:rsidRDefault="00CC0C10" w:rsidP="00CC0C10">
      <w:r w:rsidRPr="00C21927">
        <w:t xml:space="preserve">Existence inženýrských sítí v dotčeném území, jejich poloha a dimenze jsou zřejmé z vyjádření příslušných správců a doložené situace </w:t>
      </w:r>
      <w:r w:rsidR="007339DF">
        <w:t>území</w:t>
      </w:r>
      <w:r w:rsidRPr="00C21927">
        <w:t>.</w:t>
      </w:r>
    </w:p>
    <w:p w:rsidR="00CC0C10" w:rsidRPr="00CC0C10" w:rsidRDefault="00DA03AA" w:rsidP="00DA03AA">
      <w:pPr>
        <w:pStyle w:val="Odstavecseseznamem"/>
        <w:ind w:left="567" w:firstLine="0"/>
      </w:pPr>
      <w:r>
        <w:t xml:space="preserve">Napojení na inženýrské sítě </w:t>
      </w:r>
      <w:r w:rsidR="00A20306">
        <w:t>je stávající.</w:t>
      </w:r>
    </w:p>
    <w:p w:rsidR="00170114" w:rsidRPr="00CC0C10" w:rsidRDefault="00170114" w:rsidP="00CC0C10">
      <w:pPr>
        <w:pStyle w:val="Nadpis4"/>
      </w:pPr>
      <w:r w:rsidRPr="00CC0C10">
        <w:t>připojovací rozměry, výkonové kapacity a délky</w:t>
      </w:r>
    </w:p>
    <w:p w:rsidR="00A20306" w:rsidRPr="00CC0C10" w:rsidRDefault="00A20306" w:rsidP="00A20306">
      <w:pPr>
        <w:pStyle w:val="Odstavecseseznamem"/>
        <w:ind w:left="567" w:firstLine="0"/>
      </w:pPr>
      <w:bookmarkStart w:id="4" w:name="_Toc510707790"/>
      <w:r>
        <w:t xml:space="preserve">Napojení na inženýrské sítě </w:t>
      </w:r>
      <w:r>
        <w:t>je stávající</w:t>
      </w:r>
      <w:r>
        <w:t>.</w:t>
      </w:r>
    </w:p>
    <w:p w:rsidR="00B86B77" w:rsidRDefault="00B86B77" w:rsidP="00B86B77">
      <w:pPr>
        <w:pStyle w:val="Nadpis2"/>
      </w:pPr>
      <w:r>
        <w:lastRenderedPageBreak/>
        <w:t>Dopravní řešení</w:t>
      </w:r>
      <w:bookmarkEnd w:id="4"/>
    </w:p>
    <w:p w:rsidR="00B86B77" w:rsidRPr="00D87D1B" w:rsidRDefault="00D87D1B" w:rsidP="00D87D1B">
      <w:pPr>
        <w:pStyle w:val="Nadpis4"/>
      </w:pPr>
      <w:r w:rsidRPr="00D87D1B">
        <w:t>popis dopravního řešení včetně bezbariérových opatření pro přístupnost a užívání stavby osobami se sníženou schopností pohybu nebo orientace</w:t>
      </w:r>
    </w:p>
    <w:p w:rsidR="0082195D" w:rsidRPr="00C21927" w:rsidRDefault="00A20306" w:rsidP="0082195D">
      <w:r>
        <w:t>Možné stání osobních automobilů je na zpevněné ploše u komunikace na pozemku obce</w:t>
      </w:r>
    </w:p>
    <w:p w:rsidR="00B86B77" w:rsidRDefault="00B86B77" w:rsidP="00B86B77">
      <w:pPr>
        <w:pStyle w:val="Nadpis4"/>
      </w:pPr>
      <w:r>
        <w:t>napojení území na stávající dopravní infrastrukturu</w:t>
      </w:r>
    </w:p>
    <w:p w:rsidR="00A20306" w:rsidRPr="00C21927" w:rsidRDefault="00A20306" w:rsidP="00A20306">
      <w:r>
        <w:t>Stávající objekt je v blízkosti obecní komunikace. Objekt je taktéž v blízkosti železniční dráhy.</w:t>
      </w:r>
    </w:p>
    <w:p w:rsidR="00B86B77" w:rsidRDefault="00B86B77" w:rsidP="00B86B77">
      <w:pPr>
        <w:pStyle w:val="Nadpis4"/>
      </w:pPr>
      <w:r>
        <w:t>doprava v</w:t>
      </w:r>
      <w:r w:rsidR="00456F98">
        <w:t> </w:t>
      </w:r>
      <w:r>
        <w:t>klidu</w:t>
      </w:r>
    </w:p>
    <w:p w:rsidR="00A20306" w:rsidRPr="00C21927" w:rsidRDefault="00A20306" w:rsidP="00A20306">
      <w:r>
        <w:t>Možné stání osobních automobilů je na zpevněné ploše u komunikace na pozemku obce</w:t>
      </w:r>
    </w:p>
    <w:p w:rsidR="00B86B77" w:rsidRDefault="00B86B77" w:rsidP="00BE4E51">
      <w:pPr>
        <w:pStyle w:val="Nadpis4"/>
      </w:pPr>
      <w:r>
        <w:t>pěší a cyklistické stezky.</w:t>
      </w:r>
    </w:p>
    <w:p w:rsidR="00456F98" w:rsidRDefault="00035414" w:rsidP="00456F98">
      <w:pPr>
        <w:spacing w:line="276" w:lineRule="auto"/>
      </w:pPr>
      <w:r>
        <w:t>P</w:t>
      </w:r>
      <w:r w:rsidR="00456F98" w:rsidRPr="002B7D93">
        <w:t>ěší ani cyklistické stezky se ne</w:t>
      </w:r>
      <w:r>
        <w:t>vyskytují</w:t>
      </w:r>
      <w:r w:rsidR="00456F98" w:rsidRPr="002B7D93">
        <w:t>. Stávající přístupové komunikac</w:t>
      </w:r>
      <w:r w:rsidR="00456F98">
        <w:t>e a chodníky jsou respektovány</w:t>
      </w:r>
      <w:r w:rsidR="00A20306">
        <w:t xml:space="preserve"> a nejsou úpravami dotčeny</w:t>
      </w:r>
      <w:r w:rsidR="00456F98">
        <w:t>.</w:t>
      </w:r>
    </w:p>
    <w:p w:rsidR="00456F98" w:rsidRDefault="00456F98" w:rsidP="00456F98">
      <w:pPr>
        <w:pStyle w:val="Nadpis2"/>
      </w:pPr>
      <w:bookmarkStart w:id="5" w:name="_Toc510707791"/>
      <w:r>
        <w:t>Řešení vegetace a souvisejících terénních úprav</w:t>
      </w:r>
      <w:bookmarkEnd w:id="5"/>
    </w:p>
    <w:p w:rsidR="00456F98" w:rsidRDefault="00456F98" w:rsidP="00456F98">
      <w:pPr>
        <w:pStyle w:val="Nadpis4"/>
      </w:pPr>
      <w:r>
        <w:t>terénní úpravy</w:t>
      </w:r>
    </w:p>
    <w:p w:rsidR="00BE4E51" w:rsidRDefault="00A20306" w:rsidP="00BE4E51">
      <w:r>
        <w:t>Udržovacími pracemi objektu nedojde k terénním úpravám.</w:t>
      </w:r>
    </w:p>
    <w:p w:rsidR="00456F98" w:rsidRDefault="00456F98" w:rsidP="00456F98">
      <w:pPr>
        <w:pStyle w:val="Nadpis4"/>
      </w:pPr>
      <w:r>
        <w:t>použité vegetační prvky</w:t>
      </w:r>
    </w:p>
    <w:p w:rsidR="00035414" w:rsidRPr="00456F98" w:rsidRDefault="00035414" w:rsidP="00035414">
      <w:pPr>
        <w:spacing w:line="276" w:lineRule="auto"/>
      </w:pPr>
      <w:r>
        <w:t>N</w:t>
      </w:r>
      <w:r w:rsidR="00BE4E51">
        <w:t>eřeší</w:t>
      </w:r>
      <w:r>
        <w:t xml:space="preserve"> se</w:t>
      </w:r>
    </w:p>
    <w:p w:rsidR="00456F98" w:rsidRDefault="00456F98" w:rsidP="00456F98">
      <w:pPr>
        <w:pStyle w:val="Nadpis4"/>
      </w:pPr>
      <w:r>
        <w:t>biotechnická opatření</w:t>
      </w:r>
    </w:p>
    <w:p w:rsidR="00BE4E51" w:rsidRPr="00456F98" w:rsidRDefault="00BE4E51" w:rsidP="00BE4E51">
      <w:pPr>
        <w:spacing w:line="276" w:lineRule="auto"/>
      </w:pPr>
      <w:r>
        <w:t>Neřeší se</w:t>
      </w:r>
    </w:p>
    <w:p w:rsidR="00456F98" w:rsidRDefault="00456F98" w:rsidP="00456F98">
      <w:pPr>
        <w:pStyle w:val="Nadpis2"/>
      </w:pPr>
      <w:bookmarkStart w:id="6" w:name="_Toc510707792"/>
      <w:r>
        <w:t>Popis vlivů stavby na životní prostředí a jeho ochrana</w:t>
      </w:r>
      <w:bookmarkEnd w:id="6"/>
    </w:p>
    <w:p w:rsidR="00BD25C4" w:rsidRDefault="00BD25C4" w:rsidP="00BD25C4">
      <w:pPr>
        <w:pStyle w:val="Nadpis4"/>
      </w:pPr>
      <w:r>
        <w:t>vliv na životní prostředí - ovzduší, hluk, voda, odpady a půda</w:t>
      </w:r>
    </w:p>
    <w:p w:rsidR="00223D8C" w:rsidRPr="00C21927" w:rsidRDefault="00A20306" w:rsidP="00223D8C">
      <w:r>
        <w:t>Udržovací práce objektu</w:t>
      </w:r>
      <w:r w:rsidR="00223D8C" w:rsidRPr="00C21927">
        <w:t xml:space="preserve"> neovlivní nepříznivě své okolí, doplňuje pouze stávající zastavěnost v dané lokalitě. </w:t>
      </w:r>
    </w:p>
    <w:p w:rsidR="00223D8C" w:rsidRPr="008371D1" w:rsidRDefault="00223D8C" w:rsidP="008371D1">
      <w:pPr>
        <w:spacing w:after="0"/>
        <w:rPr>
          <w:i/>
        </w:rPr>
      </w:pPr>
      <w:r w:rsidRPr="008371D1">
        <w:rPr>
          <w:i/>
        </w:rPr>
        <w:t>Hluk</w:t>
      </w:r>
    </w:p>
    <w:p w:rsidR="00223D8C" w:rsidRPr="00C21927" w:rsidRDefault="00223D8C" w:rsidP="00223D8C">
      <w:pPr>
        <w:rPr>
          <w:color w:val="000000"/>
        </w:rPr>
      </w:pPr>
      <w:r w:rsidRPr="00C21927">
        <w:rPr>
          <w:color w:val="000000"/>
        </w:rPr>
        <w:t>Hygienické limity hluku v chráněném vnitřním a venkovním prostoru staveb a v chráněném venkovním prostoru dle požadavků nařízení vlády č. 272/2011 Sb., o ochraně zdraví před nepříznivými účinky hluku a vibrací, budou dodrženy.</w:t>
      </w:r>
    </w:p>
    <w:p w:rsidR="00223D8C" w:rsidRPr="008371D1" w:rsidRDefault="00223D8C" w:rsidP="008371D1">
      <w:pPr>
        <w:spacing w:after="0"/>
        <w:rPr>
          <w:i/>
        </w:rPr>
      </w:pPr>
      <w:r w:rsidRPr="008371D1">
        <w:rPr>
          <w:i/>
        </w:rPr>
        <w:t>Voda</w:t>
      </w:r>
    </w:p>
    <w:p w:rsidR="00223D8C" w:rsidRPr="00C21927" w:rsidRDefault="00223D8C" w:rsidP="00223D8C">
      <w:r w:rsidRPr="00C21927">
        <w:t xml:space="preserve">Likvidace dešťových vod </w:t>
      </w:r>
      <w:r w:rsidR="006940BD">
        <w:t>bude svedena novými dešťovými svody do stávající kanalizace na stávajících místech dešťových svodů</w:t>
      </w:r>
      <w:r w:rsidRPr="00C21927">
        <w:t>.</w:t>
      </w:r>
    </w:p>
    <w:p w:rsidR="00223D8C" w:rsidRPr="008371D1" w:rsidRDefault="00223D8C" w:rsidP="006940BD">
      <w:pPr>
        <w:keepNext/>
        <w:spacing w:after="0"/>
        <w:rPr>
          <w:i/>
        </w:rPr>
      </w:pPr>
      <w:r w:rsidRPr="008371D1">
        <w:rPr>
          <w:i/>
        </w:rPr>
        <w:t>Odpady</w:t>
      </w:r>
    </w:p>
    <w:p w:rsidR="00223D8C" w:rsidRPr="00C21927" w:rsidRDefault="00223D8C" w:rsidP="00223D8C">
      <w:r w:rsidRPr="00C21927">
        <w:t xml:space="preserve">Nakládání s odpady </w:t>
      </w:r>
      <w:r w:rsidR="006940BD">
        <w:t>zůstává neměnné.</w:t>
      </w:r>
    </w:p>
    <w:p w:rsidR="00223D8C" w:rsidRPr="00C21927" w:rsidRDefault="00223D8C" w:rsidP="00223D8C">
      <w:pPr>
        <w:rPr>
          <w:kern w:val="28"/>
        </w:rPr>
      </w:pPr>
      <w:r w:rsidRPr="00C21927">
        <w:rPr>
          <w:kern w:val="28"/>
        </w:rPr>
        <w:lastRenderedPageBreak/>
        <w:t xml:space="preserve">Při realizaci záměru bude vybraný zhotovitel stavby povinen nakládat s odpady vzniklými při demoličních pracích a při stavbě v souladu se zákonem č.185/2001 Sb. v platném znění. </w:t>
      </w:r>
    </w:p>
    <w:p w:rsidR="00223D8C" w:rsidRDefault="00223D8C" w:rsidP="00223D8C">
      <w:pPr>
        <w:rPr>
          <w:kern w:val="28"/>
        </w:rPr>
      </w:pPr>
      <w:r w:rsidRPr="00C21927">
        <w:rPr>
          <w:kern w:val="28"/>
        </w:rPr>
        <w:t>Případně vzniklý nebezpečný odpad bude odvezen na skládku k tomu určenou a bude s ním nakládáno dle zákona a dle druhu nebezpečného odpadu.</w:t>
      </w:r>
    </w:p>
    <w:p w:rsidR="00BD25C4" w:rsidRDefault="008371D1" w:rsidP="00BD25C4">
      <w:pPr>
        <w:pStyle w:val="Nadpis4"/>
      </w:pPr>
      <w:r>
        <w:t>v</w:t>
      </w:r>
      <w:r w:rsidR="00A35FFD">
        <w:t xml:space="preserve">liv na přírodu a krajinu - </w:t>
      </w:r>
      <w:r w:rsidR="00BD25C4">
        <w:t>ochrana dřevin, ochrana památných stromů, ochr</w:t>
      </w:r>
      <w:r w:rsidR="00A35FFD">
        <w:t>ana rostlin a živočichů apod.</w:t>
      </w:r>
      <w:r w:rsidR="00BD25C4">
        <w:t>, zachování ekologických funkcí a vazeb v</w:t>
      </w:r>
      <w:r w:rsidR="008C39DD">
        <w:t> </w:t>
      </w:r>
      <w:r w:rsidR="00BD25C4">
        <w:t>krajině</w:t>
      </w:r>
    </w:p>
    <w:p w:rsidR="008C39DD" w:rsidRPr="002B7D93" w:rsidRDefault="00A35FFD" w:rsidP="008C39DD">
      <w:pPr>
        <w:spacing w:line="276" w:lineRule="auto"/>
      </w:pPr>
      <w:r>
        <w:t xml:space="preserve">Stávající objekt nezasahuje do </w:t>
      </w:r>
      <w:r w:rsidR="008C39DD" w:rsidRPr="002B7D93">
        <w:t>základních skladebných prvků ÚSES ani do dalších významných krajinných prvků</w:t>
      </w:r>
      <w:r>
        <w:t>.</w:t>
      </w:r>
    </w:p>
    <w:p w:rsidR="00BD25C4" w:rsidRDefault="00BD25C4" w:rsidP="00BD25C4">
      <w:pPr>
        <w:pStyle w:val="Nadpis4"/>
      </w:pPr>
      <w:r>
        <w:t>vliv na soustavu chráněných území Natura 2000</w:t>
      </w:r>
    </w:p>
    <w:p w:rsidR="008C39DD" w:rsidRPr="008C39DD" w:rsidRDefault="00A35FFD" w:rsidP="008C39DD">
      <w:r>
        <w:t>Řešen</w:t>
      </w:r>
      <w:r w:rsidR="006940BD">
        <w:t xml:space="preserve">ý objekt </w:t>
      </w:r>
      <w:r w:rsidR="008C39DD" w:rsidRPr="002B7D93">
        <w:t xml:space="preserve">nezasahuje do chráněných území Natura 2000, ani nemá na </w:t>
      </w:r>
      <w:r>
        <w:t>ně</w:t>
      </w:r>
      <w:r w:rsidR="008C39DD" w:rsidRPr="002B7D93">
        <w:t xml:space="preserve"> vliv.</w:t>
      </w:r>
    </w:p>
    <w:p w:rsidR="00BD25C4" w:rsidRPr="00A35FFD" w:rsidRDefault="00A35FFD" w:rsidP="00A35FFD">
      <w:pPr>
        <w:pStyle w:val="Nadpis4"/>
      </w:pPr>
      <w:r w:rsidRPr="00A35FFD">
        <w:t>způsob zohlednění podmínek závazného stanoviska posouzení vlivu záměru na životní prostředí, je-li podkladem</w:t>
      </w:r>
    </w:p>
    <w:p w:rsidR="008C39DD" w:rsidRDefault="00A35FFD" w:rsidP="008C39DD">
      <w:pPr>
        <w:rPr>
          <w:rFonts w:cs="Arial"/>
          <w:szCs w:val="24"/>
        </w:rPr>
      </w:pPr>
      <w:r>
        <w:rPr>
          <w:rFonts w:cs="Arial"/>
          <w:szCs w:val="24"/>
        </w:rPr>
        <w:t>Řešen</w:t>
      </w:r>
      <w:r w:rsidR="006940BD">
        <w:rPr>
          <w:rFonts w:cs="Arial"/>
          <w:szCs w:val="24"/>
        </w:rPr>
        <w:t xml:space="preserve">ý objekt </w:t>
      </w:r>
      <w:r w:rsidR="008C39DD" w:rsidRPr="002B7D93">
        <w:rPr>
          <w:rFonts w:cs="Arial"/>
          <w:szCs w:val="24"/>
        </w:rPr>
        <w:t>ne</w:t>
      </w:r>
      <w:r>
        <w:rPr>
          <w:rFonts w:cs="Arial"/>
          <w:szCs w:val="24"/>
        </w:rPr>
        <w:t>má vliv na životní prostředí</w:t>
      </w:r>
      <w:r w:rsidR="008C39DD" w:rsidRPr="002B7D93">
        <w:rPr>
          <w:rFonts w:cs="Arial"/>
          <w:szCs w:val="24"/>
        </w:rPr>
        <w:t>.</w:t>
      </w:r>
    </w:p>
    <w:p w:rsidR="00A35FFD" w:rsidRDefault="00A35FFD" w:rsidP="00A35FFD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>v případě záměrů spadajících do režimu zákona o integrované prevenci základní parametry způsobu naplnění závěrů o nejlepších dostupných technikách nebo integrované povolení, bylo-li vydáno</w:t>
      </w:r>
    </w:p>
    <w:p w:rsidR="00123258" w:rsidRPr="00181B5B" w:rsidRDefault="00123258" w:rsidP="005F3191">
      <w:pPr>
        <w:rPr>
          <w:szCs w:val="22"/>
        </w:rPr>
      </w:pPr>
      <w:r w:rsidRPr="00181B5B">
        <w:rPr>
          <w:szCs w:val="22"/>
        </w:rPr>
        <w:t xml:space="preserve">Není → </w:t>
      </w:r>
      <w:r w:rsidRPr="00181B5B">
        <w:t xml:space="preserve">inženýrská činnost je v kompetenci investora, v průběhu vypracování této </w:t>
      </w:r>
      <w:r w:rsidR="006940BD">
        <w:t>DPS</w:t>
      </w:r>
      <w:r w:rsidRPr="00181B5B">
        <w:t xml:space="preserve"> nám nebyli poskytnuty žádné informace o průběhu projednávání ani z nich plynoucí podmínky dotčených orgánů.</w:t>
      </w:r>
    </w:p>
    <w:p w:rsidR="00BD25C4" w:rsidRDefault="008C39DD" w:rsidP="00BD25C4">
      <w:pPr>
        <w:pStyle w:val="Nadpis4"/>
      </w:pPr>
      <w:r>
        <w:t>n</w:t>
      </w:r>
      <w:r w:rsidR="00BD25C4">
        <w:t>avrhovaná ochranná a bezpečnostní pásma, rozsah omezení a podmínky ochrany podle jiných právních předpisů</w:t>
      </w:r>
      <w:r w:rsidR="000F41BC">
        <w:t>, je-li podkladem</w:t>
      </w:r>
    </w:p>
    <w:p w:rsidR="005F3191" w:rsidRPr="00181B5B" w:rsidRDefault="005F3191" w:rsidP="005F3191">
      <w:r w:rsidRPr="00181B5B">
        <w:t>Řešeného území se týkají pouze ochranná pásma inženýrských sítí stávajících</w:t>
      </w:r>
      <w:r w:rsidR="006940BD">
        <w:t>, která nebudou udržovacími pracemi dotčena.</w:t>
      </w:r>
    </w:p>
    <w:p w:rsidR="00564B0C" w:rsidRDefault="005F3191" w:rsidP="00564B0C">
      <w:pPr>
        <w:pStyle w:val="Nadpis2"/>
      </w:pPr>
      <w:bookmarkStart w:id="7" w:name="_Toc510707793"/>
      <w:r>
        <w:t>O</w:t>
      </w:r>
      <w:r w:rsidR="00564B0C">
        <w:t>chrana obyvatelstva</w:t>
      </w:r>
      <w:bookmarkEnd w:id="7"/>
    </w:p>
    <w:p w:rsidR="00564B0C" w:rsidRPr="00B62811" w:rsidRDefault="00564B0C" w:rsidP="000F41BC">
      <w:pPr>
        <w:ind w:firstLine="0"/>
        <w:rPr>
          <w:rFonts w:cs="Arial"/>
          <w:i/>
          <w:color w:val="000000"/>
          <w:szCs w:val="22"/>
        </w:rPr>
      </w:pPr>
      <w:r w:rsidRPr="00B62811">
        <w:rPr>
          <w:rFonts w:cs="Arial"/>
          <w:i/>
          <w:color w:val="000000"/>
          <w:szCs w:val="22"/>
        </w:rPr>
        <w:t>Splnění základních požadavků z hlediska plnění úkolů ochrany obyvatelstva.</w:t>
      </w:r>
    </w:p>
    <w:p w:rsidR="00AD24B8" w:rsidRPr="00C21927" w:rsidRDefault="006940BD" w:rsidP="00AD24B8">
      <w:r>
        <w:t>Udržovacími pracemi se ochrana obyvatelstva řešeného objektu a jeho okolí nemění.</w:t>
      </w:r>
    </w:p>
    <w:p w:rsidR="00564B0C" w:rsidRDefault="00564B0C" w:rsidP="00564B0C">
      <w:pPr>
        <w:pStyle w:val="Nadpis2"/>
      </w:pPr>
      <w:bookmarkStart w:id="8" w:name="_Toc510707794"/>
      <w:r>
        <w:t>Zásady organizace výstavby</w:t>
      </w:r>
      <w:bookmarkEnd w:id="8"/>
    </w:p>
    <w:p w:rsidR="00564B0C" w:rsidRDefault="00564B0C" w:rsidP="00564B0C">
      <w:pPr>
        <w:pStyle w:val="Nadpis4"/>
      </w:pPr>
      <w:r>
        <w:t>potřeby a spotřeby rozhodujících médií a hmot, jejich zajištění</w:t>
      </w:r>
    </w:p>
    <w:p w:rsidR="00AD24B8" w:rsidRPr="00C21927" w:rsidRDefault="001C2EFE" w:rsidP="001C2EFE">
      <w:r>
        <w:t>Zásobování elektřinou – ze stávajících rozvodů elektrické energie.</w:t>
      </w:r>
    </w:p>
    <w:p w:rsidR="00AD24B8" w:rsidRDefault="00AD24B8" w:rsidP="00772EEC">
      <w:pPr>
        <w:rPr>
          <w:bCs/>
          <w:kern w:val="28"/>
        </w:rPr>
      </w:pPr>
      <w:r w:rsidRPr="00C21927">
        <w:t xml:space="preserve">Zásobování staveniště vodou – </w:t>
      </w:r>
      <w:r w:rsidR="001C2EFE">
        <w:t>zůstává ze stávajících zdrojů a odběrných míst objektu</w:t>
      </w:r>
    </w:p>
    <w:p w:rsidR="00564B0C" w:rsidRDefault="00564B0C" w:rsidP="00564B0C">
      <w:pPr>
        <w:pStyle w:val="Nadpis4"/>
      </w:pPr>
      <w:r>
        <w:t>odvodnění staveniště</w:t>
      </w:r>
    </w:p>
    <w:p w:rsidR="00A759BA" w:rsidRPr="00C21927" w:rsidRDefault="00A759BA" w:rsidP="00A759BA">
      <w:r w:rsidRPr="00C21927">
        <w:t xml:space="preserve">Dešťové vody budou </w:t>
      </w:r>
      <w:r w:rsidR="001C2EFE">
        <w:t>svedeny provizorními svody v průběhu výstavby do stávající kanalizace, která je neměnná.</w:t>
      </w:r>
    </w:p>
    <w:p w:rsidR="00564B0C" w:rsidRDefault="00564B0C" w:rsidP="00564B0C">
      <w:pPr>
        <w:pStyle w:val="Nadpis4"/>
      </w:pPr>
      <w:r>
        <w:lastRenderedPageBreak/>
        <w:t>napojení staveniště na stávající dopravní a technickou infrastrukturu</w:t>
      </w:r>
    </w:p>
    <w:p w:rsidR="00A759BA" w:rsidRPr="00C21927" w:rsidRDefault="00A759BA" w:rsidP="00A759BA">
      <w:r w:rsidRPr="00C21927">
        <w:t>Napojení staveniště na technickou infrastrukturu je zřejmé z výše uvedeného textu. Před zahájením prací zažádá zhotovitel stavby o přesné vytýčení všech stávajících inženýrských sítí v prostoru stavby. Výkopové práce nesmí být zahájeny před vytýčením a ověřením podzemních vedení jejich příslušnými správci a musí být prov</w:t>
      </w:r>
      <w:r>
        <w:t>áděny za jimi určených podmínek</w:t>
      </w:r>
      <w:r w:rsidRPr="00C21927">
        <w:t>!</w:t>
      </w:r>
    </w:p>
    <w:p w:rsidR="00A759BA" w:rsidRDefault="00A759BA" w:rsidP="00A759BA">
      <w:pPr>
        <w:rPr>
          <w:rFonts w:cs="Arial"/>
          <w:bCs/>
          <w:szCs w:val="22"/>
        </w:rPr>
      </w:pPr>
      <w:r w:rsidRPr="00C21927">
        <w:rPr>
          <w:rFonts w:cs="Arial"/>
          <w:bCs/>
          <w:szCs w:val="22"/>
        </w:rPr>
        <w:t>Doprava na stavbu bude probíhat po místních komu</w:t>
      </w:r>
      <w:r w:rsidR="00AE02BD">
        <w:rPr>
          <w:rFonts w:cs="Arial"/>
          <w:bCs/>
          <w:szCs w:val="22"/>
        </w:rPr>
        <w:t xml:space="preserve">nikacích části </w:t>
      </w:r>
      <w:r w:rsidR="001C2EFE">
        <w:rPr>
          <w:rFonts w:cs="Arial"/>
          <w:bCs/>
          <w:szCs w:val="22"/>
        </w:rPr>
        <w:t>obce Nová Ves.</w:t>
      </w:r>
    </w:p>
    <w:p w:rsidR="00564B0C" w:rsidRDefault="00564B0C" w:rsidP="00564B0C">
      <w:pPr>
        <w:pStyle w:val="Nadpis4"/>
      </w:pPr>
      <w:r>
        <w:t>vliv provádění stavby na okolní stavby a pozemky</w:t>
      </w:r>
    </w:p>
    <w:p w:rsidR="00AE02BD" w:rsidRPr="00C21927" w:rsidRDefault="00AE02BD" w:rsidP="00AE02BD">
      <w:r w:rsidRPr="00C21927">
        <w:t>Vzhledem k rozsahu a charakteru stavby bude vliv stavby na okolní stavby a pozemky minimální. Stavba přijme veškerá opatření k minimalizaci negativních vlivů, popsaná v ná</w:t>
      </w:r>
      <w:r>
        <w:t>sledujících odstavcích.</w:t>
      </w:r>
    </w:p>
    <w:p w:rsidR="00564B0C" w:rsidRDefault="00564B0C" w:rsidP="007A6B4E">
      <w:pPr>
        <w:pStyle w:val="Nadpis4"/>
      </w:pPr>
      <w:bookmarkStart w:id="9" w:name="_Ref510706408"/>
      <w:r>
        <w:t>ochrana okolí staveniště a požadavky na související asanace, demolice, kácení dřevin</w:t>
      </w:r>
      <w:bookmarkEnd w:id="9"/>
    </w:p>
    <w:p w:rsidR="00AE02BD" w:rsidRPr="00C21927" w:rsidRDefault="00AE02BD" w:rsidP="00AE02BD">
      <w:r w:rsidRPr="00C21927">
        <w:t xml:space="preserve">Stavba bude </w:t>
      </w:r>
      <w:r w:rsidR="001C2EFE">
        <w:t>zajištěna případně oplocena</w:t>
      </w:r>
      <w:r w:rsidRPr="00C21927">
        <w:t>. Režim vstupu na staveniště, délka pracovní doby a oprávněnost osob bude stanovena v součinnosti s prováděcí firmou. Stav</w:t>
      </w:r>
      <w:r>
        <w:t>ba zajistí</w:t>
      </w:r>
      <w:r w:rsidRPr="00C21927">
        <w:t xml:space="preserve"> viditelnou ceduli na hraně oplocení stavby, kde bude uveden: název stavby, investor, zástupce investora, architekt, projektant, generální dodavatel, zástupce generálního dodavatele, technický dozor, termíny výstavby, včetně telefonického spojení. Vstup na staveniště bude zajištěn. V nočních hodinách nebo ve dnech pracovního klidu a volna bude stavba pod uzamčením.</w:t>
      </w:r>
    </w:p>
    <w:p w:rsidR="00AE02BD" w:rsidRPr="00C21927" w:rsidRDefault="00AE02BD" w:rsidP="00AE02BD">
      <w:r w:rsidRPr="00C21927">
        <w:t xml:space="preserve">Stavební firma bude řádně pojištěna na škody způsobené jejím vlastním zaviněním a současně bude v průběhu stavby stavba pojištěna (živelné pohromy, krádež, apod.) na celkovou výši dokončené stavby. </w:t>
      </w:r>
    </w:p>
    <w:p w:rsidR="00AE02BD" w:rsidRPr="00C21927" w:rsidRDefault="00AE02BD" w:rsidP="00AE02BD">
      <w:r w:rsidRPr="00C21927">
        <w:t>Podmínky budou stanoveny dle zákona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práci).</w:t>
      </w:r>
    </w:p>
    <w:p w:rsidR="00AE02BD" w:rsidRPr="00C21927" w:rsidRDefault="00AE02BD" w:rsidP="00AE02BD">
      <w:r w:rsidRPr="00C21927">
        <w:t>Na staveništi se nepředpokládá pohyb osob se sníženou schopností pohybu a orientace.</w:t>
      </w:r>
    </w:p>
    <w:p w:rsidR="00AE02BD" w:rsidRPr="00C21927" w:rsidRDefault="00AE02BD" w:rsidP="00AE02BD">
      <w:r w:rsidRPr="00C21927">
        <w:t>Konstrukce a použité materiály pro zařízení staveniště musí odpovídat jejich dočasné funkci.</w:t>
      </w:r>
    </w:p>
    <w:p w:rsidR="00AE02BD" w:rsidRPr="00C21927" w:rsidRDefault="00AE02BD" w:rsidP="00AE02BD">
      <w:r w:rsidRPr="00C21927">
        <w:t>Při stavebních pracích budou dodrženy platné právní předpisy a normy o ochranných pásmech objektů, stávajících vedení a komunikací.</w:t>
      </w:r>
    </w:p>
    <w:p w:rsidR="00AE02BD" w:rsidRPr="00C21927" w:rsidRDefault="00AE02BD" w:rsidP="00AE02BD">
      <w:pPr>
        <w:spacing w:after="0"/>
      </w:pPr>
      <w:r w:rsidRPr="00C21927">
        <w:t>Zhotovitel stavby je povinen:</w:t>
      </w:r>
    </w:p>
    <w:p w:rsidR="00AE02BD" w:rsidRPr="00C21927" w:rsidRDefault="00AE02BD" w:rsidP="00AE02BD">
      <w:pPr>
        <w:pStyle w:val="Odstavecseseznamem"/>
        <w:numPr>
          <w:ilvl w:val="0"/>
          <w:numId w:val="18"/>
        </w:numPr>
        <w:ind w:left="567" w:hanging="283"/>
      </w:pPr>
      <w:r w:rsidRPr="00C21927">
        <w:t>zajistit ochranu podzemních a povrchových vod, půdy a horninového prostředí před únikem ropných látek na staveništi a příjezdových trasách pravidelnou kontrolou stavebních mechanizmů a nákladních automobilů a pravidelnou vizuální kontrolou staveniště. V případě zjištění úniku ropných látek do prostředí postupovat podle havarijního plánu, neprodleně informovat orgány a organizace uvedené v havarijním plánu. Sanaci havárie zajistit u odborné firmy.</w:t>
      </w:r>
    </w:p>
    <w:p w:rsidR="00AE02BD" w:rsidRDefault="00AE02BD" w:rsidP="00AE02BD">
      <w:pPr>
        <w:pStyle w:val="Odstavecseseznamem"/>
        <w:numPr>
          <w:ilvl w:val="0"/>
          <w:numId w:val="18"/>
        </w:numPr>
        <w:ind w:left="567" w:hanging="283"/>
      </w:pPr>
      <w:r w:rsidRPr="00C21927">
        <w:t>zajistit údržbu silničních komunikací, které budou používány jako příjezdové komunikace na staveniště, v případě poškození zajistit jejich opravu. Po dokončení výstavby uvést příjezdové komunikace alespoň do původního stavu.</w:t>
      </w:r>
    </w:p>
    <w:p w:rsidR="00564B0C" w:rsidRPr="004D07E5" w:rsidRDefault="004D07E5" w:rsidP="004D07E5">
      <w:pPr>
        <w:pStyle w:val="Nadpis4"/>
      </w:pPr>
      <w:r w:rsidRPr="004D07E5">
        <w:lastRenderedPageBreak/>
        <w:t>maximální dočasné a trvalé zábory pro staveniště</w:t>
      </w:r>
    </w:p>
    <w:p w:rsidR="00AE02BD" w:rsidRPr="00C21927" w:rsidRDefault="00AE02BD" w:rsidP="00AE02BD">
      <w:r w:rsidRPr="00C21927">
        <w:t>Stavba nevyžaduje žádné zábory</w:t>
      </w:r>
      <w:r w:rsidR="001C2EFE">
        <w:t>.</w:t>
      </w:r>
    </w:p>
    <w:p w:rsidR="004D07E5" w:rsidRDefault="004D07E5" w:rsidP="004D07E5">
      <w:pPr>
        <w:pStyle w:val="Nadpis4"/>
        <w:rPr>
          <w:shd w:val="clear" w:color="auto" w:fill="FFFFFF"/>
        </w:rPr>
      </w:pPr>
      <w:r>
        <w:rPr>
          <w:shd w:val="clear" w:color="auto" w:fill="FFFFFF"/>
        </w:rPr>
        <w:t xml:space="preserve">požadavky na bezbariérové </w:t>
      </w:r>
      <w:proofErr w:type="spellStart"/>
      <w:r>
        <w:rPr>
          <w:shd w:val="clear" w:color="auto" w:fill="FFFFFF"/>
        </w:rPr>
        <w:t>obchozí</w:t>
      </w:r>
      <w:proofErr w:type="spellEnd"/>
      <w:r>
        <w:rPr>
          <w:shd w:val="clear" w:color="auto" w:fill="FFFFFF"/>
        </w:rPr>
        <w:t xml:space="preserve"> trasy</w:t>
      </w:r>
    </w:p>
    <w:p w:rsidR="004D07E5" w:rsidRPr="00564B0C" w:rsidRDefault="001C2EFE" w:rsidP="004D07E5">
      <w:r>
        <w:t>Samotnou s</w:t>
      </w:r>
      <w:r w:rsidR="00880D54">
        <w:t xml:space="preserve">tavbou nedojde k narušení veřejných komunikačních prostor, nebude zapotřebí bezbariérové </w:t>
      </w:r>
      <w:proofErr w:type="spellStart"/>
      <w:r w:rsidR="00880D54">
        <w:t>obchozí</w:t>
      </w:r>
      <w:proofErr w:type="spellEnd"/>
      <w:r w:rsidR="00880D54">
        <w:t xml:space="preserve"> trasy.</w:t>
      </w:r>
      <w:r>
        <w:t xml:space="preserve"> Stavební firma bude muset zajistit po celé časové délce stavby</w:t>
      </w:r>
      <w:r w:rsidR="008B735E">
        <w:t xml:space="preserve"> bezpečný provoz funkce nádraží a to ze jména pro cestující drážní dopravou.</w:t>
      </w:r>
    </w:p>
    <w:p w:rsidR="000B4335" w:rsidRDefault="000B4335" w:rsidP="000B4335">
      <w:pPr>
        <w:pStyle w:val="Nadpis4"/>
      </w:pPr>
      <w:r>
        <w:t>maximální produkovaná množství a druhy odpadů a emisí při výstavbě, jejich likvidace</w:t>
      </w:r>
    </w:p>
    <w:p w:rsidR="00880D54" w:rsidRDefault="00880D54" w:rsidP="00880D54">
      <w:r w:rsidRPr="00C21927">
        <w:t>Nakládání s odpady bude prováděno smluvní odbornou</w:t>
      </w:r>
      <w:r>
        <w:t xml:space="preserve"> firmou v souladu se zákonem č. </w:t>
      </w:r>
      <w:r w:rsidRPr="00C21927">
        <w:t>185/2001 Sb. o odpadech, v platném znění. Odpady vzniklé během stavby budou likvidovány v jejím průběhu. Hospodaření s odpady na plochách zařízení staveniště bude v souladu s platnými bezpečnostními předpisy včetně manipulace s nebezpečnými látkami. Při provozování stavebních strojů je zapotřebí dbát na jejich technický stav pro snížení úkapů oleje a ostatních technologických kapalin. Dále bude odvážena suť z demolic, případně přebytečná zemina z výkopů.</w:t>
      </w:r>
    </w:p>
    <w:p w:rsidR="000B4335" w:rsidRDefault="000B4335" w:rsidP="000B4335">
      <w:pPr>
        <w:pStyle w:val="Nadpis4"/>
      </w:pPr>
      <w:r>
        <w:t xml:space="preserve">bilance zemních prací, požadavky na přísun nebo </w:t>
      </w:r>
      <w:proofErr w:type="spellStart"/>
      <w:r>
        <w:t>deponie</w:t>
      </w:r>
      <w:proofErr w:type="spellEnd"/>
      <w:r>
        <w:t xml:space="preserve"> zemin</w:t>
      </w:r>
    </w:p>
    <w:p w:rsidR="00880D54" w:rsidRPr="00C21927" w:rsidRDefault="008B735E" w:rsidP="00880D54">
      <w:r>
        <w:t>Bude proveden výkop pro zemnící pásky a vytěžená zemina se použije pro opětovné zasypání stavební jámy.</w:t>
      </w:r>
    </w:p>
    <w:p w:rsidR="000B4335" w:rsidRDefault="000B4335" w:rsidP="000B4335">
      <w:pPr>
        <w:pStyle w:val="Nadpis4"/>
      </w:pPr>
      <w:r>
        <w:t>ochrana životního prostředí při výstavbě</w:t>
      </w:r>
    </w:p>
    <w:p w:rsidR="00880D54" w:rsidRPr="00C21927" w:rsidRDefault="00880D54" w:rsidP="00880D54">
      <w:r w:rsidRPr="00C21927">
        <w:t>Při realizaci stavby je nutno respektovat zákon č. 17/1992 Sb. o životním prostředí (obecně) ve znění pozdějších předpisů.</w:t>
      </w:r>
    </w:p>
    <w:p w:rsidR="00880D54" w:rsidRPr="00880D54" w:rsidRDefault="00880D54" w:rsidP="00880D54">
      <w:pPr>
        <w:keepNext/>
        <w:spacing w:after="0"/>
        <w:rPr>
          <w:i/>
        </w:rPr>
      </w:pPr>
      <w:r w:rsidRPr="00880D54">
        <w:rPr>
          <w:i/>
        </w:rPr>
        <w:t>Hluk</w:t>
      </w:r>
    </w:p>
    <w:p w:rsidR="00880D54" w:rsidRPr="00C21927" w:rsidRDefault="00880D54" w:rsidP="00880D54">
      <w:r w:rsidRPr="00C21927">
        <w:t>Nejvyšší přípustné hladiny hluku, které stanoví zákon č. 258/2000</w:t>
      </w:r>
      <w:r>
        <w:t> </w:t>
      </w:r>
      <w:r w:rsidRPr="00C21927">
        <w:t>Sb. o ochraně veřejného zdraví a jeho další následné prováděcí předpisy, např. nařízení vlády č. 272/2011 Sb. (ochrana proti hluku).</w:t>
      </w:r>
    </w:p>
    <w:p w:rsidR="00880D54" w:rsidRPr="00880D54" w:rsidRDefault="00880D54" w:rsidP="00880D54">
      <w:pPr>
        <w:keepNext/>
        <w:spacing w:after="0"/>
        <w:rPr>
          <w:i/>
        </w:rPr>
      </w:pPr>
      <w:r w:rsidRPr="00880D54">
        <w:rPr>
          <w:i/>
        </w:rPr>
        <w:t>Vibrace</w:t>
      </w:r>
    </w:p>
    <w:p w:rsidR="00880D54" w:rsidRPr="00C21927" w:rsidRDefault="00880D54" w:rsidP="00880D54">
      <w:r w:rsidRPr="00C21927">
        <w:t>Maximální přípustné hodnoty vibrací stanoví nařízení vlády č. 272/2011 Sb., o ochraně zdraví před nepříznivými účinky hluku a vibrací, které rovněž stanoví povinnosti stavebních organizací.</w:t>
      </w:r>
    </w:p>
    <w:p w:rsidR="00880D54" w:rsidRPr="00880D54" w:rsidRDefault="00880D54" w:rsidP="00880D54">
      <w:pPr>
        <w:keepNext/>
        <w:spacing w:after="0"/>
        <w:rPr>
          <w:i/>
        </w:rPr>
      </w:pPr>
      <w:r w:rsidRPr="00880D54">
        <w:rPr>
          <w:i/>
        </w:rPr>
        <w:t>Ostatní environmentální opatření</w:t>
      </w:r>
    </w:p>
    <w:p w:rsidR="00880D54" w:rsidRPr="00C21927" w:rsidRDefault="00880D54" w:rsidP="00880D54">
      <w:r w:rsidRPr="00C21927">
        <w:t>Veškerá mechanizace a vozidla na staveništi musí být zajištěna proti úkapům olejů a pohonných hmot, jejich zbytky musí být likvidovány na příslušných místech; při realizaci veškerých prací musí být použity technologické postupy, které omezí vznik zbytečné prašnosti (vodní clony, odsávání apod.); dopravní prostředky při opuštění staveniště musí být očištěny; vzhledem k obvyklým prostorovým problémům musí být přímo na výjezdu osazen čisticí rošt, který zamezí přenesení nečistot na dopravní komunikace; na staveništi nesmí být žádný odpad likvidován spalováním.</w:t>
      </w:r>
    </w:p>
    <w:p w:rsidR="00880D54" w:rsidRPr="00880D54" w:rsidRDefault="00880D54" w:rsidP="008B735E">
      <w:pPr>
        <w:keepNext/>
        <w:spacing w:after="0"/>
        <w:rPr>
          <w:i/>
        </w:rPr>
      </w:pPr>
      <w:r w:rsidRPr="00880D54">
        <w:rPr>
          <w:i/>
        </w:rPr>
        <w:lastRenderedPageBreak/>
        <w:t>Prašnost</w:t>
      </w:r>
    </w:p>
    <w:p w:rsidR="00880D54" w:rsidRPr="00C21927" w:rsidRDefault="00880D54" w:rsidP="00880D54">
      <w:r w:rsidRPr="00C21927">
        <w:t xml:space="preserve">V průběhu prováděni zemních prací je zhotovitel povinen provádět opatření ke snížení prašnosti, u veřejných komunikací pak jejich pravidelné čištěni v případě, že je po nich veden stavební provoz. Tuto povinnost zpravidla stanoví zhotoviteli stavební úřad. </w:t>
      </w:r>
    </w:p>
    <w:p w:rsidR="00880D54" w:rsidRPr="00880D54" w:rsidRDefault="00880D54" w:rsidP="00880D54">
      <w:pPr>
        <w:keepNext/>
        <w:spacing w:after="0"/>
        <w:rPr>
          <w:i/>
        </w:rPr>
      </w:pPr>
      <w:r w:rsidRPr="00880D54">
        <w:rPr>
          <w:i/>
        </w:rPr>
        <w:t>Ochrana povrchových a podzemních vod</w:t>
      </w:r>
    </w:p>
    <w:p w:rsidR="00880D54" w:rsidRPr="00C21927" w:rsidRDefault="00880D54" w:rsidP="00880D54">
      <w:r w:rsidRPr="00C21927">
        <w:t>V průběhu výstavby nesmí docházet k nadměrnému znečišťování povrchových vod a ohrožování kvality podzemních vod.</w:t>
      </w:r>
    </w:p>
    <w:p w:rsidR="00880D54" w:rsidRPr="00880D54" w:rsidRDefault="00880D54" w:rsidP="00880D54">
      <w:pPr>
        <w:keepNext/>
        <w:spacing w:after="0"/>
        <w:rPr>
          <w:i/>
        </w:rPr>
      </w:pPr>
      <w:r w:rsidRPr="00880D54">
        <w:rPr>
          <w:i/>
        </w:rPr>
        <w:t>Emise</w:t>
      </w:r>
    </w:p>
    <w:p w:rsidR="006840D1" w:rsidRPr="00564B0C" w:rsidRDefault="00880D54" w:rsidP="00880D54">
      <w:r w:rsidRPr="00C21927">
        <w:t>Stavební činnost způsobuje znečištění ovzduší, zejména zemní práce, výroba betonu apod.</w:t>
      </w:r>
      <w:r>
        <w:t xml:space="preserve"> </w:t>
      </w:r>
      <w:r w:rsidRPr="00C21927">
        <w:t>Zhotovitel musí dodržovat platné právní předpisy stanovující emisní limity, apod.</w:t>
      </w:r>
    </w:p>
    <w:p w:rsidR="000B4335" w:rsidRDefault="000B4335" w:rsidP="000B4335">
      <w:pPr>
        <w:pStyle w:val="Nadpis4"/>
      </w:pPr>
      <w:r>
        <w:t>zásady bezpečnosti a ochrany zdraví při práci na staveništi</w:t>
      </w:r>
    </w:p>
    <w:p w:rsidR="00880D54" w:rsidRPr="00C21927" w:rsidRDefault="00880D54" w:rsidP="00880D54">
      <w:r w:rsidRPr="00C21927">
        <w:t>Problematiku jako celek řeší zákon č. 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předpisů.</w:t>
      </w:r>
    </w:p>
    <w:p w:rsidR="00880D54" w:rsidRPr="00C21927" w:rsidRDefault="00880D54" w:rsidP="00880D54">
      <w:pPr>
        <w:spacing w:after="0"/>
      </w:pPr>
      <w:r w:rsidRPr="00C21927">
        <w:t>Při provádění prací je potřeba dále dodržovat základní pravidla BOZP, zvláště pak respektovat:</w:t>
      </w:r>
    </w:p>
    <w:p w:rsidR="00880D54" w:rsidRPr="00C21927" w:rsidRDefault="00880D54" w:rsidP="00880D54">
      <w:pPr>
        <w:pStyle w:val="Odstavecseseznamem"/>
        <w:numPr>
          <w:ilvl w:val="0"/>
          <w:numId w:val="20"/>
        </w:numPr>
        <w:ind w:left="851" w:hanging="284"/>
      </w:pPr>
      <w:r w:rsidRPr="00C21927">
        <w:t>Zákoník práce ve znění pozdějších změn a doplnění</w:t>
      </w:r>
    </w:p>
    <w:p w:rsidR="00880D54" w:rsidRPr="00C21927" w:rsidRDefault="00880D54" w:rsidP="00880D54">
      <w:pPr>
        <w:pStyle w:val="Odstavecseseznamem"/>
        <w:numPr>
          <w:ilvl w:val="0"/>
          <w:numId w:val="20"/>
        </w:numPr>
        <w:ind w:left="851" w:hanging="284"/>
      </w:pPr>
      <w:r w:rsidRPr="00C21927">
        <w:t>Pravidla BOZP, včetně zákonných požadavků, ustanovení norem (ČSN), bezpečnostních a hygienických předpisů platných v době provádění stavby.</w:t>
      </w:r>
    </w:p>
    <w:p w:rsidR="001826C9" w:rsidRDefault="00880D54" w:rsidP="00880D54">
      <w:pPr>
        <w:pStyle w:val="Odstavecseseznamem"/>
        <w:numPr>
          <w:ilvl w:val="0"/>
          <w:numId w:val="20"/>
        </w:numPr>
        <w:ind w:left="851" w:hanging="284"/>
      </w:pPr>
      <w:r w:rsidRPr="00C21927">
        <w:t>Základní legislativní předpisy.</w:t>
      </w:r>
    </w:p>
    <w:p w:rsidR="008B735E" w:rsidRPr="00564B0C" w:rsidRDefault="008B735E" w:rsidP="008B735E">
      <w:r>
        <w:t xml:space="preserve">Samotnou stavbou nedojde k narušení veřejných komunikačních prostor, nebude zapotřebí bezbariérové </w:t>
      </w:r>
      <w:proofErr w:type="spellStart"/>
      <w:r>
        <w:t>obchozí</w:t>
      </w:r>
      <w:proofErr w:type="spellEnd"/>
      <w:r>
        <w:t xml:space="preserve"> trasy. Stavební firma bude muset zajistit po celé časové délce stavby bezpečný provoz funkce nádraží a to ze jména pro cestující drážní dopravou.</w:t>
      </w:r>
    </w:p>
    <w:p w:rsidR="000B4335" w:rsidRDefault="000B4335" w:rsidP="000B4335">
      <w:pPr>
        <w:pStyle w:val="Nadpis4"/>
      </w:pPr>
      <w:r>
        <w:t>úpravy pro bezbariérové užívání výstavbou dotčených staveb</w:t>
      </w:r>
    </w:p>
    <w:p w:rsidR="00880D54" w:rsidRPr="00C21927" w:rsidRDefault="008B735E" w:rsidP="00880D54">
      <w:r>
        <w:t>Udržovacími pracemi</w:t>
      </w:r>
      <w:r w:rsidR="00880D54" w:rsidRPr="00C21927">
        <w:t xml:space="preserve"> nejsou fyzicky dotčeny žádné okolní stavby, jejich bezbariérové užívání není třeba řešit. Úpravu si vyžádá pouze </w:t>
      </w:r>
      <w:r>
        <w:t>část nástupiště</w:t>
      </w:r>
      <w:r w:rsidR="005C1717">
        <w:t xml:space="preserve"> v místě zakopání zemnících pásků hromosvodu.</w:t>
      </w:r>
    </w:p>
    <w:p w:rsidR="0046619A" w:rsidRDefault="0046619A" w:rsidP="0046619A">
      <w:pPr>
        <w:pStyle w:val="Nadpis4"/>
      </w:pPr>
      <w:r w:rsidRPr="0046619A">
        <w:t>zásady p</w:t>
      </w:r>
      <w:r>
        <w:t>ro dopravní inženýrská opatření</w:t>
      </w:r>
    </w:p>
    <w:p w:rsidR="000F6F9B" w:rsidRPr="00C21927" w:rsidRDefault="000F6F9B" w:rsidP="000F6F9B">
      <w:r w:rsidRPr="00C21927">
        <w:t xml:space="preserve">Pozemek, na němž bude prováděna stavba, je přístupný z místní </w:t>
      </w:r>
      <w:r w:rsidR="005C1717">
        <w:t>obecní komunikace.</w:t>
      </w:r>
    </w:p>
    <w:p w:rsidR="000B4335" w:rsidRDefault="000B4335" w:rsidP="000B4335">
      <w:pPr>
        <w:pStyle w:val="Nadpis4"/>
      </w:pPr>
      <w:r>
        <w:t>stanovení speciálních</w:t>
      </w:r>
      <w:r w:rsidR="00235127">
        <w:t xml:space="preserve"> podmínek pro provádění stavby - </w:t>
      </w:r>
      <w:r>
        <w:t>provádění stavby za provozu, opatření proti účinkům vnější</w:t>
      </w:r>
      <w:r w:rsidR="00235127">
        <w:t>ho prostředí při výstavbě apod.</w:t>
      </w:r>
    </w:p>
    <w:p w:rsidR="00F85DFC" w:rsidRPr="00C21927" w:rsidRDefault="003E6537" w:rsidP="00F85DFC">
      <w:r w:rsidRPr="00C21927">
        <w:t xml:space="preserve">Stavba bude </w:t>
      </w:r>
      <w:r>
        <w:t>zajištěna případně oplocena</w:t>
      </w:r>
      <w:r w:rsidR="00F85DFC" w:rsidRPr="00C21927">
        <w:t xml:space="preserve"> – viz výše odstavec </w:t>
      </w:r>
      <w:r w:rsidR="00D85F48">
        <w:fldChar w:fldCharType="begin"/>
      </w:r>
      <w:r w:rsidR="00D85F48">
        <w:instrText xml:space="preserve"> REF _Ref510706408 \r \h </w:instrText>
      </w:r>
      <w:r w:rsidR="00D85F48">
        <w:fldChar w:fldCharType="separate"/>
      </w:r>
      <w:r w:rsidR="00BA15CB">
        <w:t>e)</w:t>
      </w:r>
      <w:r w:rsidR="00D85F48">
        <w:fldChar w:fldCharType="end"/>
      </w:r>
      <w:r>
        <w:t>.</w:t>
      </w:r>
    </w:p>
    <w:p w:rsidR="000B4335" w:rsidRDefault="000B4335" w:rsidP="004A2D0E">
      <w:pPr>
        <w:pStyle w:val="Nadpis4"/>
      </w:pPr>
      <w:r>
        <w:t>postup výstavby, rozhodující dílčí termíny</w:t>
      </w:r>
    </w:p>
    <w:p w:rsidR="00DE59FB" w:rsidRPr="00C21927" w:rsidRDefault="00DE59FB" w:rsidP="00DE59FB">
      <w:pPr>
        <w:tabs>
          <w:tab w:val="left" w:pos="6237"/>
        </w:tabs>
        <w:spacing w:after="0"/>
      </w:pPr>
      <w:r w:rsidRPr="00C21927">
        <w:t xml:space="preserve">Předpokládaný termín </w:t>
      </w:r>
      <w:r>
        <w:t>zahájení stavebních prací</w:t>
      </w:r>
      <w:r>
        <w:tab/>
      </w:r>
      <w:r w:rsidR="003E6537">
        <w:t>2019</w:t>
      </w:r>
    </w:p>
    <w:p w:rsidR="00DE59FB" w:rsidRPr="00C21927" w:rsidRDefault="00DE59FB" w:rsidP="00DE59FB">
      <w:pPr>
        <w:tabs>
          <w:tab w:val="left" w:pos="6237"/>
        </w:tabs>
        <w:spacing w:before="0" w:after="120"/>
      </w:pPr>
      <w:r w:rsidRPr="00C21927">
        <w:t>Předpokládaný termín d</w:t>
      </w:r>
      <w:r>
        <w:t>okončení stavebních prací</w:t>
      </w:r>
      <w:r>
        <w:tab/>
      </w:r>
      <w:r w:rsidR="003E6537">
        <w:t>2020</w:t>
      </w:r>
    </w:p>
    <w:p w:rsidR="00DE59FB" w:rsidRDefault="00DE59FB" w:rsidP="00DE59FB">
      <w:r w:rsidRPr="00C21927">
        <w:lastRenderedPageBreak/>
        <w:t>Lhůta výstavby bude upřesněna podle nabídky dodavatele stavby.</w:t>
      </w:r>
    </w:p>
    <w:p w:rsidR="00265D9F" w:rsidRDefault="00265D9F" w:rsidP="00265D9F">
      <w:pPr>
        <w:pStyle w:val="Nadpis2"/>
        <w:rPr>
          <w:shd w:val="clear" w:color="auto" w:fill="FFFFFF"/>
        </w:rPr>
      </w:pPr>
      <w:bookmarkStart w:id="10" w:name="_Toc510707795"/>
      <w:r>
        <w:rPr>
          <w:shd w:val="clear" w:color="auto" w:fill="FFFFFF"/>
        </w:rPr>
        <w:t>Celkové vodohospodářské řešení</w:t>
      </w:r>
      <w:bookmarkEnd w:id="10"/>
    </w:p>
    <w:p w:rsidR="00F77C18" w:rsidRPr="00E34ECB" w:rsidRDefault="00F77C18" w:rsidP="00F77C18">
      <w:r w:rsidRPr="00E34ECB">
        <w:t xml:space="preserve">Dešťové vody ze střechy </w:t>
      </w:r>
      <w:r w:rsidR="003E6537">
        <w:t>budou svedeny dešťovými svody do stávající neměnné kanalizace.</w:t>
      </w:r>
    </w:p>
    <w:p w:rsidR="00F77C18" w:rsidRDefault="00F77C18" w:rsidP="00F77C18">
      <w:r w:rsidRPr="00B056D4">
        <w:t>Odvodnění veškerých zpevněných ploch bude zajištěno jejich dostatečným příčným i podélným</w:t>
      </w:r>
      <w:r>
        <w:t xml:space="preserve"> </w:t>
      </w:r>
      <w:r w:rsidR="003E6537">
        <w:t>sklonem</w:t>
      </w:r>
      <w:r w:rsidRPr="00B056D4">
        <w:t>. Budou</w:t>
      </w:r>
      <w:r>
        <w:t xml:space="preserve"> </w:t>
      </w:r>
      <w:r w:rsidR="00BA69B6">
        <w:t>dodrženy</w:t>
      </w:r>
      <w:r w:rsidRPr="00B056D4">
        <w:t xml:space="preserve"> sklony zpevněných ploch. V případě propadlých nebo vyboulených míst, </w:t>
      </w:r>
      <w:r w:rsidR="00BA69B6">
        <w:t>musí</w:t>
      </w:r>
      <w:r w:rsidRPr="00B056D4">
        <w:t xml:space="preserve"> </w:t>
      </w:r>
      <w:r w:rsidR="00BA69B6">
        <w:t xml:space="preserve">být </w:t>
      </w:r>
      <w:r w:rsidRPr="00B056D4">
        <w:t>tato</w:t>
      </w:r>
      <w:r w:rsidR="00BA69B6">
        <w:t xml:space="preserve"> místa</w:t>
      </w:r>
      <w:r>
        <w:t xml:space="preserve"> </w:t>
      </w:r>
      <w:r w:rsidRPr="00B056D4">
        <w:t>upravena. Dešťové vody</w:t>
      </w:r>
      <w:r w:rsidR="003E6537">
        <w:t xml:space="preserve"> z okolí objektu</w:t>
      </w:r>
      <w:r w:rsidRPr="00B056D4">
        <w:t xml:space="preserve"> </w:t>
      </w:r>
      <w:proofErr w:type="gramStart"/>
      <w:r w:rsidRPr="00B056D4">
        <w:t>jsou</w:t>
      </w:r>
      <w:proofErr w:type="gramEnd"/>
      <w:r w:rsidRPr="00B056D4">
        <w:t xml:space="preserve"> svedeny do stávajících ulič</w:t>
      </w:r>
      <w:r>
        <w:t xml:space="preserve">ních </w:t>
      </w:r>
      <w:proofErr w:type="gramStart"/>
      <w:r>
        <w:t>vpustí</w:t>
      </w:r>
      <w:proofErr w:type="gramEnd"/>
      <w:r w:rsidR="00BA69B6">
        <w:t>.</w:t>
      </w:r>
      <w:r>
        <w:t xml:space="preserve"> </w:t>
      </w:r>
      <w:r w:rsidRPr="00B056D4">
        <w:t xml:space="preserve">Napojení uličních vpustí </w:t>
      </w:r>
      <w:r>
        <w:t>je do stávající kanalizace.</w:t>
      </w:r>
      <w:bookmarkStart w:id="11" w:name="_GoBack"/>
      <w:bookmarkEnd w:id="11"/>
    </w:p>
    <w:p w:rsidR="00265D9F" w:rsidRPr="00265D9F" w:rsidRDefault="00F77C18" w:rsidP="00F77C18">
      <w:r w:rsidRPr="00736354">
        <w:rPr>
          <w:rFonts w:eastAsia="ArialMT"/>
        </w:rPr>
        <w:t xml:space="preserve">Odtokové poměry </w:t>
      </w:r>
      <w:r>
        <w:rPr>
          <w:rFonts w:eastAsia="ArialMT"/>
        </w:rPr>
        <w:t xml:space="preserve">stávající příjezdové </w:t>
      </w:r>
      <w:r w:rsidRPr="00736354">
        <w:rPr>
          <w:rFonts w:eastAsia="ArialMT"/>
        </w:rPr>
        <w:t>komunikace nebudou stavbou dotčeny</w:t>
      </w:r>
      <w:r>
        <w:rPr>
          <w:rFonts w:ascii="ArialMT" w:eastAsia="ArialMT" w:cs="ArialMT"/>
        </w:rPr>
        <w:t>.</w:t>
      </w:r>
    </w:p>
    <w:sectPr w:rsidR="00265D9F" w:rsidRPr="00265D9F" w:rsidSect="003F2C13">
      <w:footerReference w:type="default" r:id="rId11"/>
      <w:pgSz w:w="11906" w:h="16838" w:code="9"/>
      <w:pgMar w:top="1361" w:right="1134" w:bottom="1021" w:left="1134" w:header="709" w:footer="54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CCE" w:rsidRDefault="007E5CCE">
      <w:r>
        <w:separator/>
      </w:r>
    </w:p>
    <w:p w:rsidR="007E5CCE" w:rsidRDefault="007E5CCE"/>
  </w:endnote>
  <w:endnote w:type="continuationSeparator" w:id="0">
    <w:p w:rsidR="007E5CCE" w:rsidRDefault="007E5CCE">
      <w:r>
        <w:continuationSeparator/>
      </w:r>
    </w:p>
    <w:p w:rsidR="007E5CCE" w:rsidRDefault="007E5C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AD" w:rsidRDefault="000C56AD" w:rsidP="005D4D3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C56AD" w:rsidRDefault="000C56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AD" w:rsidRDefault="000C56AD" w:rsidP="00F053C3">
    <w:pPr>
      <w:tabs>
        <w:tab w:val="right" w:pos="9638"/>
      </w:tabs>
      <w:jc w:val="left"/>
      <w:rPr>
        <w:rFonts w:cs="Arial"/>
        <w:b/>
        <w:bCs/>
        <w:szCs w:val="24"/>
      </w:rPr>
    </w:pPr>
    <w:r w:rsidRPr="00F053C3">
      <w:rPr>
        <w:rFonts w:cs="Arial"/>
        <w:sz w:val="16"/>
        <w:szCs w:val="16"/>
      </w:rPr>
      <w:t xml:space="preserve">Bytový dům „Na Sekyře“, </w:t>
    </w:r>
    <w:proofErr w:type="spellStart"/>
    <w:r w:rsidRPr="00F053C3">
      <w:rPr>
        <w:rFonts w:cs="Arial"/>
        <w:sz w:val="16"/>
        <w:szCs w:val="16"/>
      </w:rPr>
      <w:t>parc</w:t>
    </w:r>
    <w:proofErr w:type="spellEnd"/>
    <w:r w:rsidRPr="00F053C3">
      <w:rPr>
        <w:rFonts w:cs="Arial"/>
        <w:sz w:val="16"/>
        <w:szCs w:val="16"/>
      </w:rPr>
      <w:t xml:space="preserve">. </w:t>
    </w:r>
    <w:proofErr w:type="gramStart"/>
    <w:r w:rsidRPr="00F053C3">
      <w:rPr>
        <w:rFonts w:cs="Arial"/>
        <w:sz w:val="16"/>
        <w:szCs w:val="16"/>
      </w:rPr>
      <w:t>č.</w:t>
    </w:r>
    <w:proofErr w:type="gramEnd"/>
    <w:r w:rsidRPr="00F053C3">
      <w:rPr>
        <w:rFonts w:cs="Arial"/>
        <w:sz w:val="16"/>
        <w:szCs w:val="16"/>
      </w:rPr>
      <w:t xml:space="preserve"> 3875/2 – k. </w:t>
    </w:r>
    <w:proofErr w:type="spellStart"/>
    <w:r w:rsidRPr="00F053C3">
      <w:rPr>
        <w:rFonts w:cs="Arial"/>
        <w:sz w:val="16"/>
        <w:szCs w:val="16"/>
      </w:rPr>
      <w:t>ú.</w:t>
    </w:r>
    <w:proofErr w:type="spellEnd"/>
    <w:r w:rsidRPr="00F053C3">
      <w:rPr>
        <w:rFonts w:cs="Arial"/>
        <w:sz w:val="16"/>
        <w:szCs w:val="16"/>
      </w:rPr>
      <w:t xml:space="preserve"> </w:t>
    </w:r>
    <w:proofErr w:type="gramStart"/>
    <w:r w:rsidRPr="00F053C3">
      <w:rPr>
        <w:rFonts w:cs="Arial"/>
        <w:sz w:val="16"/>
        <w:szCs w:val="16"/>
      </w:rPr>
      <w:t>Rakovník , DUR</w:t>
    </w:r>
    <w:proofErr w:type="gramEnd"/>
    <w:r w:rsidRPr="00F053C3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– DSP, 05. 2016</w:t>
    </w:r>
    <w:r>
      <w:rPr>
        <w:rFonts w:cs="Arial"/>
        <w:sz w:val="16"/>
        <w:szCs w:val="16"/>
      </w:rPr>
      <w:tab/>
    </w:r>
    <w:r w:rsidRPr="00F053C3">
      <w:rPr>
        <w:rFonts w:cs="Arial"/>
        <w:sz w:val="16"/>
        <w:szCs w:val="16"/>
      </w:rPr>
      <w:t xml:space="preserve">Průvodní  zpráva  </w:t>
    </w:r>
    <w:r w:rsidRPr="00F053C3">
      <w:rPr>
        <w:rFonts w:cs="Arial"/>
        <w:sz w:val="20"/>
      </w:rPr>
      <w:pgNum/>
    </w:r>
    <w:r w:rsidRPr="00F053C3">
      <w:rPr>
        <w:rFonts w:cs="Arial"/>
        <w:sz w:val="20"/>
      </w:rPr>
      <w:t>.</w:t>
    </w:r>
  </w:p>
  <w:p w:rsidR="000C56AD" w:rsidRPr="00F053C3" w:rsidRDefault="000C56AD" w:rsidP="00F053C3">
    <w:pPr>
      <w:tabs>
        <w:tab w:val="right" w:pos="9638"/>
      </w:tabs>
      <w:jc w:val="left"/>
      <w:rPr>
        <w:rFonts w:cs="Arial"/>
      </w:rPr>
    </w:pPr>
    <w:r w:rsidRPr="00F053C3">
      <w:rPr>
        <w:rFonts w:cs="Arial"/>
        <w:sz w:val="16"/>
        <w:szCs w:val="16"/>
      </w:rPr>
      <w:t>A1 s. r.o., Nová 1997/24, 370 01 Č. Budějov</w:t>
    </w:r>
    <w:r>
      <w:rPr>
        <w:rFonts w:cs="Arial"/>
        <w:sz w:val="16"/>
        <w:szCs w:val="16"/>
      </w:rPr>
      <w:t>ice</w:t>
    </w:r>
    <w:r>
      <w:rPr>
        <w:rFonts w:cs="Arial"/>
        <w:sz w:val="16"/>
        <w:szCs w:val="16"/>
      </w:rPr>
      <w:tab/>
    </w:r>
    <w:r w:rsidRPr="00F053C3">
      <w:rPr>
        <w:rFonts w:cs="Arial"/>
        <w:sz w:val="16"/>
        <w:szCs w:val="16"/>
      </w:rPr>
      <w:t xml:space="preserve">tel.:725 721 025, e-mail: </w:t>
    </w:r>
    <w:hyperlink r:id="rId1" w:history="1">
      <w:r w:rsidRPr="00F053C3">
        <w:rPr>
          <w:rFonts w:cs="Arial"/>
          <w:color w:val="000000"/>
          <w:sz w:val="16"/>
          <w:szCs w:val="16"/>
        </w:rPr>
        <w:t>adler@arch-pro.cz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AD" w:rsidRPr="00F2194A" w:rsidRDefault="004243D1" w:rsidP="008B1E4B">
    <w:pPr>
      <w:pStyle w:val="Bezmezer"/>
      <w:pBdr>
        <w:top w:val="single" w:sz="4" w:space="1" w:color="auto"/>
      </w:pBdr>
      <w:tabs>
        <w:tab w:val="right" w:pos="9639"/>
      </w:tabs>
      <w:spacing w:before="120" w:line="360" w:lineRule="auto"/>
      <w:rPr>
        <w:rFonts w:ascii="Arial" w:hAnsi="Arial" w:cs="Arial"/>
        <w:sz w:val="16"/>
        <w:szCs w:val="16"/>
      </w:rPr>
    </w:pPr>
    <w:r w:rsidRPr="004243D1">
      <w:rPr>
        <w:rFonts w:ascii="Arial" w:hAnsi="Arial" w:cs="Arial"/>
        <w:spacing w:val="-6"/>
        <w:w w:val="90"/>
        <w:sz w:val="16"/>
        <w:szCs w:val="16"/>
      </w:rPr>
      <w:t xml:space="preserve">Udržovací práce na objektu výpravní budovy s č. p. 29 na st. p. č. 865, v </w:t>
    </w:r>
    <w:proofErr w:type="spellStart"/>
    <w:proofErr w:type="gramStart"/>
    <w:r w:rsidRPr="004243D1">
      <w:rPr>
        <w:rFonts w:ascii="Arial" w:hAnsi="Arial" w:cs="Arial"/>
        <w:spacing w:val="-6"/>
        <w:w w:val="90"/>
        <w:sz w:val="16"/>
        <w:szCs w:val="16"/>
      </w:rPr>
      <w:t>k.ú</w:t>
    </w:r>
    <w:proofErr w:type="spellEnd"/>
    <w:r w:rsidRPr="004243D1">
      <w:rPr>
        <w:rFonts w:ascii="Arial" w:hAnsi="Arial" w:cs="Arial"/>
        <w:spacing w:val="-6"/>
        <w:w w:val="90"/>
        <w:sz w:val="16"/>
        <w:szCs w:val="16"/>
      </w:rPr>
      <w:t>.</w:t>
    </w:r>
    <w:proofErr w:type="gramEnd"/>
    <w:r w:rsidRPr="004243D1">
      <w:rPr>
        <w:rFonts w:ascii="Arial" w:hAnsi="Arial" w:cs="Arial"/>
        <w:spacing w:val="-6"/>
        <w:w w:val="90"/>
        <w:sz w:val="16"/>
        <w:szCs w:val="16"/>
      </w:rPr>
      <w:t xml:space="preserve"> Nová Ves u ČB</w:t>
    </w:r>
    <w:r w:rsidR="000C56AD" w:rsidRPr="00F2194A">
      <w:rPr>
        <w:rFonts w:ascii="Arial" w:hAnsi="Arial" w:cs="Arial"/>
        <w:sz w:val="16"/>
        <w:szCs w:val="16"/>
      </w:rPr>
      <w:t xml:space="preserve">, </w:t>
    </w:r>
    <w:r w:rsidR="000C56AD">
      <w:rPr>
        <w:rFonts w:ascii="Arial" w:hAnsi="Arial" w:cs="Arial"/>
        <w:sz w:val="16"/>
        <w:szCs w:val="16"/>
      </w:rPr>
      <w:t>D</w:t>
    </w:r>
    <w:r>
      <w:rPr>
        <w:rFonts w:ascii="Arial" w:hAnsi="Arial" w:cs="Arial"/>
        <w:sz w:val="16"/>
        <w:szCs w:val="16"/>
      </w:rPr>
      <w:t>PS 10</w:t>
    </w:r>
    <w:r w:rsidR="000C56AD">
      <w:rPr>
        <w:rFonts w:ascii="Arial" w:hAnsi="Arial" w:cs="Arial"/>
        <w:sz w:val="16"/>
        <w:szCs w:val="16"/>
      </w:rPr>
      <w:t>/2018</w:t>
    </w:r>
    <w:r w:rsidR="000C56AD" w:rsidRPr="00F2194A">
      <w:rPr>
        <w:rFonts w:ascii="Arial" w:hAnsi="Arial" w:cs="Arial"/>
        <w:sz w:val="16"/>
        <w:szCs w:val="16"/>
      </w:rPr>
      <w:tab/>
    </w:r>
    <w:r w:rsidR="000C56AD">
      <w:rPr>
        <w:rFonts w:ascii="Arial" w:hAnsi="Arial" w:cs="Arial"/>
        <w:sz w:val="16"/>
        <w:szCs w:val="16"/>
      </w:rPr>
      <w:t>Souhrnná technická</w:t>
    </w:r>
    <w:r w:rsidR="000C56AD" w:rsidRPr="00F2194A">
      <w:rPr>
        <w:rFonts w:ascii="Arial" w:hAnsi="Arial" w:cs="Arial"/>
        <w:sz w:val="16"/>
        <w:szCs w:val="16"/>
      </w:rPr>
      <w:t xml:space="preserve"> zpráva </w:t>
    </w:r>
    <w:r w:rsidR="000C56AD" w:rsidRPr="00F2194A">
      <w:rPr>
        <w:rFonts w:ascii="Arial" w:hAnsi="Arial" w:cs="Arial"/>
      </w:rPr>
      <w:pgNum/>
    </w:r>
    <w:r w:rsidR="000C56AD" w:rsidRPr="00F2194A">
      <w:rPr>
        <w:rFonts w:ascii="Arial" w:hAnsi="Arial" w:cs="Arial"/>
        <w:sz w:val="16"/>
        <w:szCs w:val="16"/>
      </w:rPr>
      <w:t>.</w:t>
    </w:r>
  </w:p>
  <w:p w:rsidR="000C56AD" w:rsidRPr="00F2194A" w:rsidRDefault="000C56AD" w:rsidP="007727A5">
    <w:pPr>
      <w:pStyle w:val="Bezmezer"/>
      <w:tabs>
        <w:tab w:val="right" w:pos="9639"/>
      </w:tabs>
      <w:spacing w:line="360" w:lineRule="auto"/>
      <w:rPr>
        <w:rFonts w:ascii="Arial" w:hAnsi="Arial" w:cs="Arial"/>
        <w:sz w:val="16"/>
        <w:szCs w:val="16"/>
      </w:rPr>
    </w:pPr>
    <w:r w:rsidRPr="00F2194A">
      <w:rPr>
        <w:rFonts w:ascii="Arial" w:hAnsi="Arial" w:cs="Arial"/>
        <w:sz w:val="16"/>
        <w:szCs w:val="16"/>
      </w:rPr>
      <w:t>A1 s. r.o., Nová 1997/24, 370 01 Č. Budějovice</w:t>
    </w:r>
    <w:r w:rsidRPr="00F2194A">
      <w:rPr>
        <w:rFonts w:ascii="Arial" w:hAnsi="Arial" w:cs="Arial"/>
        <w:sz w:val="16"/>
        <w:szCs w:val="16"/>
      </w:rPr>
      <w:tab/>
      <w:t xml:space="preserve">tel.:725 721 025, e-mail: </w:t>
    </w:r>
    <w:hyperlink r:id="rId1" w:history="1">
      <w:r w:rsidRPr="00F2194A">
        <w:rPr>
          <w:rFonts w:ascii="Arial" w:hAnsi="Arial" w:cs="Arial"/>
          <w:color w:val="000000"/>
          <w:sz w:val="16"/>
          <w:szCs w:val="16"/>
        </w:rPr>
        <w:t>adler@arch-pro.cz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CCE" w:rsidRDefault="007E5CCE">
      <w:r>
        <w:separator/>
      </w:r>
    </w:p>
    <w:p w:rsidR="007E5CCE" w:rsidRDefault="007E5CCE"/>
  </w:footnote>
  <w:footnote w:type="continuationSeparator" w:id="0">
    <w:p w:rsidR="007E5CCE" w:rsidRDefault="007E5CCE">
      <w:r>
        <w:continuationSeparator/>
      </w:r>
    </w:p>
    <w:p w:rsidR="007E5CCE" w:rsidRDefault="007E5CC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E1646"/>
    <w:multiLevelType w:val="hybridMultilevel"/>
    <w:tmpl w:val="FDE2675E"/>
    <w:lvl w:ilvl="0" w:tplc="0DE6816E">
      <w:start w:val="1"/>
      <w:numFmt w:val="decimal"/>
      <w:pStyle w:val="Nadpis6"/>
      <w:suff w:val="space"/>
      <w:lvlText w:val="%1)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73"/>
        </w:tabs>
        <w:ind w:left="10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93"/>
        </w:tabs>
        <w:ind w:left="1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13"/>
        </w:tabs>
        <w:ind w:left="2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33"/>
        </w:tabs>
        <w:ind w:left="3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53"/>
        </w:tabs>
        <w:ind w:left="3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73"/>
        </w:tabs>
        <w:ind w:left="4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93"/>
        </w:tabs>
        <w:ind w:left="5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13"/>
        </w:tabs>
        <w:ind w:left="6113" w:hanging="180"/>
      </w:pPr>
    </w:lvl>
  </w:abstractNum>
  <w:abstractNum w:abstractNumId="1" w15:restartNumberingAfterBreak="0">
    <w:nsid w:val="0307643E"/>
    <w:multiLevelType w:val="hybridMultilevel"/>
    <w:tmpl w:val="BD366DEC"/>
    <w:lvl w:ilvl="0" w:tplc="D93C7EF8">
      <w:start w:val="1"/>
      <w:numFmt w:val="bullet"/>
      <w:lvlText w:val=""/>
      <w:lvlJc w:val="right"/>
      <w:pPr>
        <w:ind w:left="1429" w:hanging="360"/>
      </w:pPr>
      <w:rPr>
        <w:rFonts w:ascii="Wingdings" w:hAnsi="Wingdings" w:hint="default"/>
        <w:spacing w:val="-9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2D0899"/>
    <w:multiLevelType w:val="hybridMultilevel"/>
    <w:tmpl w:val="4BD8F90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317476"/>
    <w:multiLevelType w:val="hybridMultilevel"/>
    <w:tmpl w:val="479EF672"/>
    <w:lvl w:ilvl="0" w:tplc="D93C7EF8">
      <w:start w:val="1"/>
      <w:numFmt w:val="bullet"/>
      <w:lvlText w:val=""/>
      <w:lvlJc w:val="right"/>
      <w:pPr>
        <w:ind w:left="720" w:hanging="360"/>
      </w:pPr>
      <w:rPr>
        <w:rFonts w:ascii="Wingdings" w:hAnsi="Wingdings" w:hint="default"/>
        <w:spacing w:val="-9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F708C"/>
    <w:multiLevelType w:val="multilevel"/>
    <w:tmpl w:val="B360150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C042CC"/>
    <w:multiLevelType w:val="hybridMultilevel"/>
    <w:tmpl w:val="B91E57E6"/>
    <w:lvl w:ilvl="0" w:tplc="FBF6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D4B0F"/>
    <w:multiLevelType w:val="multilevel"/>
    <w:tmpl w:val="DB1C3FCC"/>
    <w:lvl w:ilvl="0">
      <w:start w:val="2"/>
      <w:numFmt w:val="upperLetter"/>
      <w:pStyle w:val="Nadpis1"/>
      <w:suff w:val="space"/>
      <w:lvlText w:val="%1."/>
      <w:lvlJc w:val="left"/>
      <w:pPr>
        <w:ind w:left="0" w:firstLine="0"/>
      </w:pPr>
      <w:rPr>
        <w:rFonts w:ascii="Impact" w:hAnsi="Impact"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Nadpis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7" w15:restartNumberingAfterBreak="0">
    <w:nsid w:val="13F26E65"/>
    <w:multiLevelType w:val="hybridMultilevel"/>
    <w:tmpl w:val="C85AE198"/>
    <w:lvl w:ilvl="0" w:tplc="D93C7EF8">
      <w:start w:val="1"/>
      <w:numFmt w:val="bullet"/>
      <w:lvlText w:val=""/>
      <w:lvlJc w:val="right"/>
      <w:pPr>
        <w:ind w:left="1429" w:hanging="360"/>
      </w:pPr>
      <w:rPr>
        <w:rFonts w:ascii="Wingdings" w:hAnsi="Wingdings" w:hint="default"/>
        <w:spacing w:val="-9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CC0534"/>
    <w:multiLevelType w:val="hybridMultilevel"/>
    <w:tmpl w:val="AF001A4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ACA7D10"/>
    <w:multiLevelType w:val="hybridMultilevel"/>
    <w:tmpl w:val="483A620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BFA79D3"/>
    <w:multiLevelType w:val="hybridMultilevel"/>
    <w:tmpl w:val="4EEE93EA"/>
    <w:lvl w:ilvl="0" w:tplc="229293A8">
      <w:start w:val="1"/>
      <w:numFmt w:val="upperLetter"/>
      <w:pStyle w:val="Nadpis5"/>
      <w:lvlText w:val="%1."/>
      <w:lvlJc w:val="left"/>
      <w:pPr>
        <w:tabs>
          <w:tab w:val="num" w:pos="-284"/>
        </w:tabs>
        <w:ind w:left="341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774" w:hanging="360"/>
      </w:pPr>
    </w:lvl>
    <w:lvl w:ilvl="2" w:tplc="0405001B" w:tentative="1">
      <w:start w:val="1"/>
      <w:numFmt w:val="lowerRoman"/>
      <w:lvlText w:val="%3."/>
      <w:lvlJc w:val="right"/>
      <w:pPr>
        <w:ind w:left="4494" w:hanging="180"/>
      </w:pPr>
    </w:lvl>
    <w:lvl w:ilvl="3" w:tplc="0405000F" w:tentative="1">
      <w:start w:val="1"/>
      <w:numFmt w:val="decimal"/>
      <w:lvlText w:val="%4."/>
      <w:lvlJc w:val="left"/>
      <w:pPr>
        <w:ind w:left="5214" w:hanging="360"/>
      </w:pPr>
    </w:lvl>
    <w:lvl w:ilvl="4" w:tplc="04050019" w:tentative="1">
      <w:start w:val="1"/>
      <w:numFmt w:val="lowerLetter"/>
      <w:lvlText w:val="%5."/>
      <w:lvlJc w:val="left"/>
      <w:pPr>
        <w:ind w:left="5934" w:hanging="360"/>
      </w:pPr>
    </w:lvl>
    <w:lvl w:ilvl="5" w:tplc="0405001B" w:tentative="1">
      <w:start w:val="1"/>
      <w:numFmt w:val="lowerRoman"/>
      <w:lvlText w:val="%6."/>
      <w:lvlJc w:val="right"/>
      <w:pPr>
        <w:ind w:left="6654" w:hanging="180"/>
      </w:pPr>
    </w:lvl>
    <w:lvl w:ilvl="6" w:tplc="0405000F" w:tentative="1">
      <w:start w:val="1"/>
      <w:numFmt w:val="decimal"/>
      <w:lvlText w:val="%7."/>
      <w:lvlJc w:val="left"/>
      <w:pPr>
        <w:ind w:left="7374" w:hanging="360"/>
      </w:pPr>
    </w:lvl>
    <w:lvl w:ilvl="7" w:tplc="04050019" w:tentative="1">
      <w:start w:val="1"/>
      <w:numFmt w:val="lowerLetter"/>
      <w:lvlText w:val="%8."/>
      <w:lvlJc w:val="left"/>
      <w:pPr>
        <w:ind w:left="8094" w:hanging="360"/>
      </w:pPr>
    </w:lvl>
    <w:lvl w:ilvl="8" w:tplc="040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2" w15:restartNumberingAfterBreak="0">
    <w:nsid w:val="21101A16"/>
    <w:multiLevelType w:val="hybridMultilevel"/>
    <w:tmpl w:val="4180522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FE27FD"/>
    <w:multiLevelType w:val="hybridMultilevel"/>
    <w:tmpl w:val="BFE06492"/>
    <w:lvl w:ilvl="0" w:tplc="00000004">
      <w:numFmt w:val="bullet"/>
      <w:lvlText w:val="-"/>
      <w:lvlJc w:val="left"/>
      <w:pPr>
        <w:ind w:left="1429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7150782"/>
    <w:multiLevelType w:val="hybridMultilevel"/>
    <w:tmpl w:val="77183E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70E8F"/>
    <w:multiLevelType w:val="hybridMultilevel"/>
    <w:tmpl w:val="85CEA8A4"/>
    <w:lvl w:ilvl="0" w:tplc="F210FFD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B455B"/>
    <w:multiLevelType w:val="hybridMultilevel"/>
    <w:tmpl w:val="DC0AE72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3590E35"/>
    <w:multiLevelType w:val="hybridMultilevel"/>
    <w:tmpl w:val="5148A256"/>
    <w:lvl w:ilvl="0" w:tplc="00000004">
      <w:numFmt w:val="bullet"/>
      <w:lvlText w:val="-"/>
      <w:lvlJc w:val="left"/>
      <w:pPr>
        <w:ind w:left="1429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6E4139"/>
    <w:multiLevelType w:val="hybridMultilevel"/>
    <w:tmpl w:val="57221DB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CC1C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A64A19"/>
    <w:multiLevelType w:val="hybridMultilevel"/>
    <w:tmpl w:val="AD18E228"/>
    <w:lvl w:ilvl="0" w:tplc="00000004">
      <w:numFmt w:val="bullet"/>
      <w:lvlText w:val="-"/>
      <w:lvlJc w:val="left"/>
      <w:pPr>
        <w:ind w:left="1429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7955E6"/>
    <w:multiLevelType w:val="hybridMultilevel"/>
    <w:tmpl w:val="B90CB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284A48"/>
    <w:multiLevelType w:val="hybridMultilevel"/>
    <w:tmpl w:val="E578F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1A75"/>
    <w:multiLevelType w:val="hybridMultilevel"/>
    <w:tmpl w:val="E668BDE8"/>
    <w:lvl w:ilvl="0" w:tplc="D5107A14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5D3437B"/>
    <w:multiLevelType w:val="hybridMultilevel"/>
    <w:tmpl w:val="198EC008"/>
    <w:lvl w:ilvl="0" w:tplc="00000004">
      <w:numFmt w:val="bullet"/>
      <w:lvlText w:val="-"/>
      <w:lvlJc w:val="left"/>
      <w:pPr>
        <w:ind w:left="1429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8324539"/>
    <w:multiLevelType w:val="hybridMultilevel"/>
    <w:tmpl w:val="AED473A0"/>
    <w:lvl w:ilvl="0" w:tplc="3E72EEA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000A09"/>
    <w:multiLevelType w:val="hybridMultilevel"/>
    <w:tmpl w:val="5094BE26"/>
    <w:lvl w:ilvl="0" w:tplc="00000004">
      <w:numFmt w:val="bullet"/>
      <w:lvlText w:val="-"/>
      <w:lvlJc w:val="left"/>
      <w:pPr>
        <w:ind w:left="1429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9A6F69"/>
    <w:multiLevelType w:val="hybridMultilevel"/>
    <w:tmpl w:val="CA36FE4E"/>
    <w:lvl w:ilvl="0" w:tplc="FBF69E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42A7A9E"/>
    <w:multiLevelType w:val="hybridMultilevel"/>
    <w:tmpl w:val="AF6A2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85BCC"/>
    <w:multiLevelType w:val="hybridMultilevel"/>
    <w:tmpl w:val="C9E01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33584B"/>
    <w:multiLevelType w:val="hybridMultilevel"/>
    <w:tmpl w:val="D7C65676"/>
    <w:lvl w:ilvl="0" w:tplc="0000000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76471"/>
    <w:multiLevelType w:val="hybridMultilevel"/>
    <w:tmpl w:val="1F844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11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12"/>
  </w:num>
  <w:num w:numId="10">
    <w:abstractNumId w:val="22"/>
  </w:num>
  <w:num w:numId="11">
    <w:abstractNumId w:val="15"/>
  </w:num>
  <w:num w:numId="12">
    <w:abstractNumId w:val="24"/>
  </w:num>
  <w:num w:numId="13">
    <w:abstractNumId w:val="17"/>
  </w:num>
  <w:num w:numId="14">
    <w:abstractNumId w:val="28"/>
  </w:num>
  <w:num w:numId="15">
    <w:abstractNumId w:val="18"/>
  </w:num>
  <w:num w:numId="16">
    <w:abstractNumId w:val="13"/>
  </w:num>
  <w:num w:numId="17">
    <w:abstractNumId w:val="29"/>
  </w:num>
  <w:num w:numId="18">
    <w:abstractNumId w:val="19"/>
  </w:num>
  <w:num w:numId="19">
    <w:abstractNumId w:val="27"/>
  </w:num>
  <w:num w:numId="20">
    <w:abstractNumId w:val="25"/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0"/>
  </w:num>
  <w:num w:numId="25">
    <w:abstractNumId w:val="30"/>
  </w:num>
  <w:num w:numId="26">
    <w:abstractNumId w:val="0"/>
    <w:lvlOverride w:ilvl="0">
      <w:startOverride w:val="1"/>
    </w:lvlOverride>
  </w:num>
  <w:num w:numId="27">
    <w:abstractNumId w:val="5"/>
  </w:num>
  <w:num w:numId="28">
    <w:abstractNumId w:val="10"/>
  </w:num>
  <w:num w:numId="29">
    <w:abstractNumId w:val="9"/>
  </w:num>
  <w:num w:numId="30">
    <w:abstractNumId w:val="26"/>
  </w:num>
  <w:num w:numId="31">
    <w:abstractNumId w:val="0"/>
    <w:lvlOverride w:ilvl="0">
      <w:startOverride w:val="1"/>
    </w:lvlOverride>
  </w:num>
  <w:num w:numId="32">
    <w:abstractNumId w:val="0"/>
  </w:num>
  <w:num w:numId="33">
    <w:abstractNumId w:val="0"/>
    <w:lvlOverride w:ilvl="0">
      <w:startOverride w:val="1"/>
    </w:lvlOverride>
  </w:num>
  <w:num w:numId="34">
    <w:abstractNumId w:val="14"/>
  </w:num>
  <w:num w:numId="35">
    <w:abstractNumId w:val="0"/>
    <w:lvlOverride w:ilvl="0">
      <w:startOverride w:val="1"/>
    </w:lvlOverride>
  </w:num>
  <w:num w:numId="36">
    <w:abstractNumId w:val="16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477"/>
    <w:rsid w:val="00002331"/>
    <w:rsid w:val="00002B7B"/>
    <w:rsid w:val="00003692"/>
    <w:rsid w:val="00003872"/>
    <w:rsid w:val="000044CA"/>
    <w:rsid w:val="00004BE9"/>
    <w:rsid w:val="00004E7D"/>
    <w:rsid w:val="00005257"/>
    <w:rsid w:val="00005788"/>
    <w:rsid w:val="0000695C"/>
    <w:rsid w:val="00011ECE"/>
    <w:rsid w:val="000129C9"/>
    <w:rsid w:val="00015D23"/>
    <w:rsid w:val="00024FCB"/>
    <w:rsid w:val="000267A9"/>
    <w:rsid w:val="00026815"/>
    <w:rsid w:val="00033333"/>
    <w:rsid w:val="0003458D"/>
    <w:rsid w:val="000353A5"/>
    <w:rsid w:val="00035414"/>
    <w:rsid w:val="00037136"/>
    <w:rsid w:val="0003724C"/>
    <w:rsid w:val="00040B95"/>
    <w:rsid w:val="00041A98"/>
    <w:rsid w:val="0004469B"/>
    <w:rsid w:val="00046736"/>
    <w:rsid w:val="00046E1B"/>
    <w:rsid w:val="000536AA"/>
    <w:rsid w:val="00060137"/>
    <w:rsid w:val="000632BB"/>
    <w:rsid w:val="000642BB"/>
    <w:rsid w:val="000707BB"/>
    <w:rsid w:val="00072A88"/>
    <w:rsid w:val="00072D94"/>
    <w:rsid w:val="000759CC"/>
    <w:rsid w:val="00085B0A"/>
    <w:rsid w:val="00086981"/>
    <w:rsid w:val="00093006"/>
    <w:rsid w:val="000947B4"/>
    <w:rsid w:val="000A31F6"/>
    <w:rsid w:val="000B027E"/>
    <w:rsid w:val="000B14EF"/>
    <w:rsid w:val="000B31AA"/>
    <w:rsid w:val="000B4335"/>
    <w:rsid w:val="000B7AB9"/>
    <w:rsid w:val="000C090F"/>
    <w:rsid w:val="000C1103"/>
    <w:rsid w:val="000C42DD"/>
    <w:rsid w:val="000C56AD"/>
    <w:rsid w:val="000C599E"/>
    <w:rsid w:val="000C75F4"/>
    <w:rsid w:val="000C7D4A"/>
    <w:rsid w:val="000D3520"/>
    <w:rsid w:val="000D3866"/>
    <w:rsid w:val="000D3953"/>
    <w:rsid w:val="000D4A3A"/>
    <w:rsid w:val="000D701B"/>
    <w:rsid w:val="000E626C"/>
    <w:rsid w:val="000E6B90"/>
    <w:rsid w:val="000E7ECB"/>
    <w:rsid w:val="000F2C42"/>
    <w:rsid w:val="000F324B"/>
    <w:rsid w:val="000F3706"/>
    <w:rsid w:val="000F41BC"/>
    <w:rsid w:val="000F6006"/>
    <w:rsid w:val="000F6080"/>
    <w:rsid w:val="000F6F9B"/>
    <w:rsid w:val="00100333"/>
    <w:rsid w:val="00100DB1"/>
    <w:rsid w:val="001053DC"/>
    <w:rsid w:val="00111246"/>
    <w:rsid w:val="001126E0"/>
    <w:rsid w:val="00112D13"/>
    <w:rsid w:val="00113BA3"/>
    <w:rsid w:val="001152EC"/>
    <w:rsid w:val="00115A6E"/>
    <w:rsid w:val="00116092"/>
    <w:rsid w:val="00116E64"/>
    <w:rsid w:val="00122110"/>
    <w:rsid w:val="00123258"/>
    <w:rsid w:val="001246C2"/>
    <w:rsid w:val="00124C41"/>
    <w:rsid w:val="001339A4"/>
    <w:rsid w:val="00140C66"/>
    <w:rsid w:val="001410DE"/>
    <w:rsid w:val="001416A7"/>
    <w:rsid w:val="001440C2"/>
    <w:rsid w:val="00150FFC"/>
    <w:rsid w:val="001527A5"/>
    <w:rsid w:val="001527A9"/>
    <w:rsid w:val="001527D9"/>
    <w:rsid w:val="00153265"/>
    <w:rsid w:val="001550DD"/>
    <w:rsid w:val="00156FD2"/>
    <w:rsid w:val="00160605"/>
    <w:rsid w:val="001632CD"/>
    <w:rsid w:val="00164979"/>
    <w:rsid w:val="00166A88"/>
    <w:rsid w:val="0016741F"/>
    <w:rsid w:val="00170114"/>
    <w:rsid w:val="00171506"/>
    <w:rsid w:val="00171BA6"/>
    <w:rsid w:val="00173C78"/>
    <w:rsid w:val="001761C6"/>
    <w:rsid w:val="0017796E"/>
    <w:rsid w:val="001826C9"/>
    <w:rsid w:val="001869E9"/>
    <w:rsid w:val="00186A65"/>
    <w:rsid w:val="001903F2"/>
    <w:rsid w:val="00192ADD"/>
    <w:rsid w:val="00194600"/>
    <w:rsid w:val="00196A77"/>
    <w:rsid w:val="0019720C"/>
    <w:rsid w:val="001979C5"/>
    <w:rsid w:val="00197DC8"/>
    <w:rsid w:val="001B06A4"/>
    <w:rsid w:val="001B2BB9"/>
    <w:rsid w:val="001B3F69"/>
    <w:rsid w:val="001B4403"/>
    <w:rsid w:val="001B45C9"/>
    <w:rsid w:val="001B59BF"/>
    <w:rsid w:val="001B6C9D"/>
    <w:rsid w:val="001C0AED"/>
    <w:rsid w:val="001C27D5"/>
    <w:rsid w:val="001C2EFE"/>
    <w:rsid w:val="001C36FD"/>
    <w:rsid w:val="001C4DCA"/>
    <w:rsid w:val="001C73EE"/>
    <w:rsid w:val="001D1BBD"/>
    <w:rsid w:val="001D4508"/>
    <w:rsid w:val="001D4E47"/>
    <w:rsid w:val="001F5F5F"/>
    <w:rsid w:val="001F65AF"/>
    <w:rsid w:val="00200604"/>
    <w:rsid w:val="002006DC"/>
    <w:rsid w:val="0020304B"/>
    <w:rsid w:val="00207CC6"/>
    <w:rsid w:val="00210074"/>
    <w:rsid w:val="00212887"/>
    <w:rsid w:val="00215A64"/>
    <w:rsid w:val="002161E1"/>
    <w:rsid w:val="00223D8C"/>
    <w:rsid w:val="00224E3A"/>
    <w:rsid w:val="00224F69"/>
    <w:rsid w:val="00235127"/>
    <w:rsid w:val="00235576"/>
    <w:rsid w:val="0024022C"/>
    <w:rsid w:val="00244E45"/>
    <w:rsid w:val="00245475"/>
    <w:rsid w:val="002470A5"/>
    <w:rsid w:val="00247F98"/>
    <w:rsid w:val="002504DC"/>
    <w:rsid w:val="00251F03"/>
    <w:rsid w:val="00253049"/>
    <w:rsid w:val="00253DFB"/>
    <w:rsid w:val="00256D1C"/>
    <w:rsid w:val="00257B1C"/>
    <w:rsid w:val="00260867"/>
    <w:rsid w:val="00264072"/>
    <w:rsid w:val="00265D9F"/>
    <w:rsid w:val="00270532"/>
    <w:rsid w:val="00274232"/>
    <w:rsid w:val="002809E2"/>
    <w:rsid w:val="00280CA3"/>
    <w:rsid w:val="00284126"/>
    <w:rsid w:val="00291ED3"/>
    <w:rsid w:val="00296AD9"/>
    <w:rsid w:val="002A035C"/>
    <w:rsid w:val="002A250D"/>
    <w:rsid w:val="002A26A2"/>
    <w:rsid w:val="002A277F"/>
    <w:rsid w:val="002A63CD"/>
    <w:rsid w:val="002B047D"/>
    <w:rsid w:val="002B3FE6"/>
    <w:rsid w:val="002B593A"/>
    <w:rsid w:val="002C32CD"/>
    <w:rsid w:val="002C4279"/>
    <w:rsid w:val="002C796D"/>
    <w:rsid w:val="002D0608"/>
    <w:rsid w:val="002D51ED"/>
    <w:rsid w:val="002D74FE"/>
    <w:rsid w:val="002E0C3C"/>
    <w:rsid w:val="002E16BB"/>
    <w:rsid w:val="002E3D77"/>
    <w:rsid w:val="002E51E7"/>
    <w:rsid w:val="002E73D3"/>
    <w:rsid w:val="002E7B2E"/>
    <w:rsid w:val="002F13E5"/>
    <w:rsid w:val="002F5DE5"/>
    <w:rsid w:val="002F7094"/>
    <w:rsid w:val="002F77B7"/>
    <w:rsid w:val="0030035C"/>
    <w:rsid w:val="00312A7C"/>
    <w:rsid w:val="00315F1E"/>
    <w:rsid w:val="00316062"/>
    <w:rsid w:val="003160B4"/>
    <w:rsid w:val="0032005B"/>
    <w:rsid w:val="00326219"/>
    <w:rsid w:val="0032654B"/>
    <w:rsid w:val="003272AC"/>
    <w:rsid w:val="003403CB"/>
    <w:rsid w:val="00344014"/>
    <w:rsid w:val="00355648"/>
    <w:rsid w:val="003564BB"/>
    <w:rsid w:val="003568BA"/>
    <w:rsid w:val="0036035C"/>
    <w:rsid w:val="0036075E"/>
    <w:rsid w:val="0036186B"/>
    <w:rsid w:val="00364A12"/>
    <w:rsid w:val="0036772D"/>
    <w:rsid w:val="00367809"/>
    <w:rsid w:val="00373BD4"/>
    <w:rsid w:val="00376C86"/>
    <w:rsid w:val="0038230E"/>
    <w:rsid w:val="00382F27"/>
    <w:rsid w:val="00384DE7"/>
    <w:rsid w:val="003865C3"/>
    <w:rsid w:val="00394051"/>
    <w:rsid w:val="00394127"/>
    <w:rsid w:val="00395B31"/>
    <w:rsid w:val="003A0344"/>
    <w:rsid w:val="003A0D4B"/>
    <w:rsid w:val="003A26C8"/>
    <w:rsid w:val="003A54DF"/>
    <w:rsid w:val="003A717A"/>
    <w:rsid w:val="003B0CE4"/>
    <w:rsid w:val="003B1E83"/>
    <w:rsid w:val="003B34AB"/>
    <w:rsid w:val="003B38BF"/>
    <w:rsid w:val="003B3CE0"/>
    <w:rsid w:val="003C0FCD"/>
    <w:rsid w:val="003C22E3"/>
    <w:rsid w:val="003C49DB"/>
    <w:rsid w:val="003D00C6"/>
    <w:rsid w:val="003D1CFB"/>
    <w:rsid w:val="003D6854"/>
    <w:rsid w:val="003D732D"/>
    <w:rsid w:val="003E4019"/>
    <w:rsid w:val="003E6537"/>
    <w:rsid w:val="003F2373"/>
    <w:rsid w:val="003F2C13"/>
    <w:rsid w:val="003F6925"/>
    <w:rsid w:val="00400075"/>
    <w:rsid w:val="0040084B"/>
    <w:rsid w:val="0040170B"/>
    <w:rsid w:val="00405266"/>
    <w:rsid w:val="00405B29"/>
    <w:rsid w:val="00411B6F"/>
    <w:rsid w:val="00420A5C"/>
    <w:rsid w:val="00423370"/>
    <w:rsid w:val="004243D1"/>
    <w:rsid w:val="00425B3D"/>
    <w:rsid w:val="00425DAC"/>
    <w:rsid w:val="004311C7"/>
    <w:rsid w:val="00433397"/>
    <w:rsid w:val="00433EE3"/>
    <w:rsid w:val="0043483D"/>
    <w:rsid w:val="00437641"/>
    <w:rsid w:val="004445CC"/>
    <w:rsid w:val="00445C02"/>
    <w:rsid w:val="004466A4"/>
    <w:rsid w:val="0044773C"/>
    <w:rsid w:val="004477BE"/>
    <w:rsid w:val="004520F1"/>
    <w:rsid w:val="00453859"/>
    <w:rsid w:val="00456F98"/>
    <w:rsid w:val="0046081D"/>
    <w:rsid w:val="00462F01"/>
    <w:rsid w:val="00463894"/>
    <w:rsid w:val="0046619A"/>
    <w:rsid w:val="004723BE"/>
    <w:rsid w:val="00474219"/>
    <w:rsid w:val="0048338C"/>
    <w:rsid w:val="004836FA"/>
    <w:rsid w:val="00483FD1"/>
    <w:rsid w:val="004849D0"/>
    <w:rsid w:val="00484F06"/>
    <w:rsid w:val="00484FE0"/>
    <w:rsid w:val="00486F99"/>
    <w:rsid w:val="00490FCF"/>
    <w:rsid w:val="0049216F"/>
    <w:rsid w:val="0049494E"/>
    <w:rsid w:val="00494BDF"/>
    <w:rsid w:val="00497733"/>
    <w:rsid w:val="004A2749"/>
    <w:rsid w:val="004A2D0E"/>
    <w:rsid w:val="004A5CCF"/>
    <w:rsid w:val="004B5429"/>
    <w:rsid w:val="004B713F"/>
    <w:rsid w:val="004B7191"/>
    <w:rsid w:val="004C5723"/>
    <w:rsid w:val="004C77CD"/>
    <w:rsid w:val="004C7A83"/>
    <w:rsid w:val="004D07E5"/>
    <w:rsid w:val="004D199E"/>
    <w:rsid w:val="004D1A0A"/>
    <w:rsid w:val="004D28DA"/>
    <w:rsid w:val="004D4117"/>
    <w:rsid w:val="004D46E4"/>
    <w:rsid w:val="004D5DAF"/>
    <w:rsid w:val="004D660D"/>
    <w:rsid w:val="004D7513"/>
    <w:rsid w:val="004E0061"/>
    <w:rsid w:val="004E26DA"/>
    <w:rsid w:val="004E43F9"/>
    <w:rsid w:val="004F303D"/>
    <w:rsid w:val="004F35C6"/>
    <w:rsid w:val="004F79BF"/>
    <w:rsid w:val="00501610"/>
    <w:rsid w:val="00502DC3"/>
    <w:rsid w:val="00507159"/>
    <w:rsid w:val="005106AB"/>
    <w:rsid w:val="00514951"/>
    <w:rsid w:val="00515F4B"/>
    <w:rsid w:val="005164AA"/>
    <w:rsid w:val="00517BA7"/>
    <w:rsid w:val="00521EFC"/>
    <w:rsid w:val="00524399"/>
    <w:rsid w:val="00534CA1"/>
    <w:rsid w:val="00536ACF"/>
    <w:rsid w:val="0054355D"/>
    <w:rsid w:val="00546D0C"/>
    <w:rsid w:val="005543DC"/>
    <w:rsid w:val="00555CAC"/>
    <w:rsid w:val="00556240"/>
    <w:rsid w:val="00557595"/>
    <w:rsid w:val="005614B3"/>
    <w:rsid w:val="00562B6E"/>
    <w:rsid w:val="00562D9A"/>
    <w:rsid w:val="00563CAB"/>
    <w:rsid w:val="00563EF1"/>
    <w:rsid w:val="00564B0C"/>
    <w:rsid w:val="005650D1"/>
    <w:rsid w:val="00570C7E"/>
    <w:rsid w:val="00575586"/>
    <w:rsid w:val="0058056B"/>
    <w:rsid w:val="00586250"/>
    <w:rsid w:val="00586C3D"/>
    <w:rsid w:val="00587054"/>
    <w:rsid w:val="00592FDA"/>
    <w:rsid w:val="005A1A90"/>
    <w:rsid w:val="005A20A2"/>
    <w:rsid w:val="005B328E"/>
    <w:rsid w:val="005B3BDB"/>
    <w:rsid w:val="005B3D67"/>
    <w:rsid w:val="005C1717"/>
    <w:rsid w:val="005C2632"/>
    <w:rsid w:val="005C2693"/>
    <w:rsid w:val="005C41D8"/>
    <w:rsid w:val="005D2998"/>
    <w:rsid w:val="005D3143"/>
    <w:rsid w:val="005D46D2"/>
    <w:rsid w:val="005D4971"/>
    <w:rsid w:val="005D4C02"/>
    <w:rsid w:val="005D4D31"/>
    <w:rsid w:val="005D5FA3"/>
    <w:rsid w:val="005D70AB"/>
    <w:rsid w:val="005E0868"/>
    <w:rsid w:val="005E1087"/>
    <w:rsid w:val="005E2F61"/>
    <w:rsid w:val="005E30F4"/>
    <w:rsid w:val="005E684D"/>
    <w:rsid w:val="005E6F88"/>
    <w:rsid w:val="005F0A79"/>
    <w:rsid w:val="005F1D6E"/>
    <w:rsid w:val="005F2145"/>
    <w:rsid w:val="005F3191"/>
    <w:rsid w:val="005F354D"/>
    <w:rsid w:val="005F7D20"/>
    <w:rsid w:val="00602124"/>
    <w:rsid w:val="00602BBB"/>
    <w:rsid w:val="00604CC2"/>
    <w:rsid w:val="0060665B"/>
    <w:rsid w:val="006128CF"/>
    <w:rsid w:val="00613218"/>
    <w:rsid w:val="0062099B"/>
    <w:rsid w:val="00624996"/>
    <w:rsid w:val="0063031D"/>
    <w:rsid w:val="00631633"/>
    <w:rsid w:val="0063208D"/>
    <w:rsid w:val="00637435"/>
    <w:rsid w:val="0064608A"/>
    <w:rsid w:val="0065285E"/>
    <w:rsid w:val="00654976"/>
    <w:rsid w:val="00655757"/>
    <w:rsid w:val="006564B9"/>
    <w:rsid w:val="0065687A"/>
    <w:rsid w:val="006572A1"/>
    <w:rsid w:val="0066067E"/>
    <w:rsid w:val="00663DE3"/>
    <w:rsid w:val="00665629"/>
    <w:rsid w:val="0067072E"/>
    <w:rsid w:val="00671409"/>
    <w:rsid w:val="00671C6A"/>
    <w:rsid w:val="00673688"/>
    <w:rsid w:val="00675AE1"/>
    <w:rsid w:val="00677238"/>
    <w:rsid w:val="00677791"/>
    <w:rsid w:val="00681D73"/>
    <w:rsid w:val="00683E27"/>
    <w:rsid w:val="006840D1"/>
    <w:rsid w:val="006869AF"/>
    <w:rsid w:val="006869D2"/>
    <w:rsid w:val="00687D8B"/>
    <w:rsid w:val="00690441"/>
    <w:rsid w:val="0069068C"/>
    <w:rsid w:val="00692B53"/>
    <w:rsid w:val="006940BD"/>
    <w:rsid w:val="006948A7"/>
    <w:rsid w:val="00694F2F"/>
    <w:rsid w:val="00695048"/>
    <w:rsid w:val="00696257"/>
    <w:rsid w:val="006A0A76"/>
    <w:rsid w:val="006B1F8D"/>
    <w:rsid w:val="006B2C84"/>
    <w:rsid w:val="006C3C8C"/>
    <w:rsid w:val="006C4C10"/>
    <w:rsid w:val="006C60A6"/>
    <w:rsid w:val="006C74F6"/>
    <w:rsid w:val="006D20D8"/>
    <w:rsid w:val="006D2435"/>
    <w:rsid w:val="006E7CB9"/>
    <w:rsid w:val="006F06CB"/>
    <w:rsid w:val="006F254D"/>
    <w:rsid w:val="006F25CB"/>
    <w:rsid w:val="006F683F"/>
    <w:rsid w:val="006F7F16"/>
    <w:rsid w:val="00703A0B"/>
    <w:rsid w:val="0070425B"/>
    <w:rsid w:val="007100A2"/>
    <w:rsid w:val="00711022"/>
    <w:rsid w:val="007114F5"/>
    <w:rsid w:val="00714BE9"/>
    <w:rsid w:val="00714C2E"/>
    <w:rsid w:val="00716550"/>
    <w:rsid w:val="00717A20"/>
    <w:rsid w:val="00720B15"/>
    <w:rsid w:val="00721740"/>
    <w:rsid w:val="00722287"/>
    <w:rsid w:val="00722EA3"/>
    <w:rsid w:val="00725CEE"/>
    <w:rsid w:val="00727053"/>
    <w:rsid w:val="00730DAB"/>
    <w:rsid w:val="007326EE"/>
    <w:rsid w:val="007332BF"/>
    <w:rsid w:val="007339DF"/>
    <w:rsid w:val="00744671"/>
    <w:rsid w:val="00750C3F"/>
    <w:rsid w:val="00751489"/>
    <w:rsid w:val="00752C4C"/>
    <w:rsid w:val="007557C8"/>
    <w:rsid w:val="00757FE8"/>
    <w:rsid w:val="007619B3"/>
    <w:rsid w:val="00761D15"/>
    <w:rsid w:val="00764BD6"/>
    <w:rsid w:val="007679F0"/>
    <w:rsid w:val="007727A5"/>
    <w:rsid w:val="00772EEC"/>
    <w:rsid w:val="00773750"/>
    <w:rsid w:val="007741A9"/>
    <w:rsid w:val="0077644A"/>
    <w:rsid w:val="00780A5F"/>
    <w:rsid w:val="0078197A"/>
    <w:rsid w:val="0078264D"/>
    <w:rsid w:val="00782AEE"/>
    <w:rsid w:val="007839EB"/>
    <w:rsid w:val="007908DC"/>
    <w:rsid w:val="00793880"/>
    <w:rsid w:val="00797078"/>
    <w:rsid w:val="007A6B4E"/>
    <w:rsid w:val="007B1A5B"/>
    <w:rsid w:val="007B278D"/>
    <w:rsid w:val="007B4955"/>
    <w:rsid w:val="007C494B"/>
    <w:rsid w:val="007C5546"/>
    <w:rsid w:val="007D061F"/>
    <w:rsid w:val="007D0F55"/>
    <w:rsid w:val="007D186E"/>
    <w:rsid w:val="007D2A21"/>
    <w:rsid w:val="007D2F27"/>
    <w:rsid w:val="007D4F0A"/>
    <w:rsid w:val="007D5134"/>
    <w:rsid w:val="007D747E"/>
    <w:rsid w:val="007E35E2"/>
    <w:rsid w:val="007E59CF"/>
    <w:rsid w:val="007E5CCE"/>
    <w:rsid w:val="007F3833"/>
    <w:rsid w:val="007F422B"/>
    <w:rsid w:val="007F51C4"/>
    <w:rsid w:val="0080102C"/>
    <w:rsid w:val="008064A0"/>
    <w:rsid w:val="0080768B"/>
    <w:rsid w:val="0081024C"/>
    <w:rsid w:val="00813A2C"/>
    <w:rsid w:val="0082195D"/>
    <w:rsid w:val="0082435F"/>
    <w:rsid w:val="008265EA"/>
    <w:rsid w:val="00827879"/>
    <w:rsid w:val="0083110A"/>
    <w:rsid w:val="0083254B"/>
    <w:rsid w:val="00833331"/>
    <w:rsid w:val="00833370"/>
    <w:rsid w:val="008371D1"/>
    <w:rsid w:val="00841F7A"/>
    <w:rsid w:val="00842346"/>
    <w:rsid w:val="008425C9"/>
    <w:rsid w:val="00843ACF"/>
    <w:rsid w:val="00844CEE"/>
    <w:rsid w:val="00845248"/>
    <w:rsid w:val="00852144"/>
    <w:rsid w:val="00852B09"/>
    <w:rsid w:val="00852B3D"/>
    <w:rsid w:val="00853F8F"/>
    <w:rsid w:val="00860170"/>
    <w:rsid w:val="0086050C"/>
    <w:rsid w:val="008657EC"/>
    <w:rsid w:val="008757CB"/>
    <w:rsid w:val="00876DED"/>
    <w:rsid w:val="00880C0E"/>
    <w:rsid w:val="00880D54"/>
    <w:rsid w:val="00881F3C"/>
    <w:rsid w:val="00883011"/>
    <w:rsid w:val="00883FC5"/>
    <w:rsid w:val="00885AEC"/>
    <w:rsid w:val="00895355"/>
    <w:rsid w:val="008A2FD2"/>
    <w:rsid w:val="008A7449"/>
    <w:rsid w:val="008B0915"/>
    <w:rsid w:val="008B1E4B"/>
    <w:rsid w:val="008B3E1F"/>
    <w:rsid w:val="008B4653"/>
    <w:rsid w:val="008B735E"/>
    <w:rsid w:val="008B7957"/>
    <w:rsid w:val="008C39DD"/>
    <w:rsid w:val="008C5A9C"/>
    <w:rsid w:val="008D37F8"/>
    <w:rsid w:val="008D7010"/>
    <w:rsid w:val="008E1132"/>
    <w:rsid w:val="008E1968"/>
    <w:rsid w:val="008E1D6C"/>
    <w:rsid w:val="008E2354"/>
    <w:rsid w:val="008E2729"/>
    <w:rsid w:val="008E50BF"/>
    <w:rsid w:val="008E50E4"/>
    <w:rsid w:val="008E51B2"/>
    <w:rsid w:val="008E64E5"/>
    <w:rsid w:val="008E6C81"/>
    <w:rsid w:val="008F0A1F"/>
    <w:rsid w:val="008F207A"/>
    <w:rsid w:val="008F4D37"/>
    <w:rsid w:val="008F6A38"/>
    <w:rsid w:val="0090204E"/>
    <w:rsid w:val="00907F23"/>
    <w:rsid w:val="0091212A"/>
    <w:rsid w:val="00915EA2"/>
    <w:rsid w:val="00915F7B"/>
    <w:rsid w:val="00921398"/>
    <w:rsid w:val="009216A5"/>
    <w:rsid w:val="00922970"/>
    <w:rsid w:val="00922F00"/>
    <w:rsid w:val="00924A74"/>
    <w:rsid w:val="00925C29"/>
    <w:rsid w:val="00927A95"/>
    <w:rsid w:val="009318CC"/>
    <w:rsid w:val="00936B0E"/>
    <w:rsid w:val="009404C5"/>
    <w:rsid w:val="00940659"/>
    <w:rsid w:val="0094076A"/>
    <w:rsid w:val="00941F40"/>
    <w:rsid w:val="00942B21"/>
    <w:rsid w:val="00945D96"/>
    <w:rsid w:val="00947413"/>
    <w:rsid w:val="00947CD1"/>
    <w:rsid w:val="009537AF"/>
    <w:rsid w:val="00953978"/>
    <w:rsid w:val="009629DB"/>
    <w:rsid w:val="00964AB7"/>
    <w:rsid w:val="00967515"/>
    <w:rsid w:val="00972B1E"/>
    <w:rsid w:val="00976D2C"/>
    <w:rsid w:val="00977D62"/>
    <w:rsid w:val="0098215C"/>
    <w:rsid w:val="00987645"/>
    <w:rsid w:val="00990105"/>
    <w:rsid w:val="00993E41"/>
    <w:rsid w:val="009944C8"/>
    <w:rsid w:val="00994AD1"/>
    <w:rsid w:val="009952C8"/>
    <w:rsid w:val="0099549F"/>
    <w:rsid w:val="00996017"/>
    <w:rsid w:val="009973FD"/>
    <w:rsid w:val="00997715"/>
    <w:rsid w:val="009A0F23"/>
    <w:rsid w:val="009A112F"/>
    <w:rsid w:val="009A356F"/>
    <w:rsid w:val="009B0871"/>
    <w:rsid w:val="009B6207"/>
    <w:rsid w:val="009B6C40"/>
    <w:rsid w:val="009B7D42"/>
    <w:rsid w:val="009C27A2"/>
    <w:rsid w:val="009C485C"/>
    <w:rsid w:val="009C66A5"/>
    <w:rsid w:val="009C6EEC"/>
    <w:rsid w:val="009C794D"/>
    <w:rsid w:val="009D0AC7"/>
    <w:rsid w:val="009D3AF4"/>
    <w:rsid w:val="009D42B1"/>
    <w:rsid w:val="009D689E"/>
    <w:rsid w:val="009D6D7F"/>
    <w:rsid w:val="009D7835"/>
    <w:rsid w:val="009E1483"/>
    <w:rsid w:val="009F08CB"/>
    <w:rsid w:val="009F2114"/>
    <w:rsid w:val="009F36B4"/>
    <w:rsid w:val="009F3CFD"/>
    <w:rsid w:val="00A00499"/>
    <w:rsid w:val="00A0136E"/>
    <w:rsid w:val="00A04B7F"/>
    <w:rsid w:val="00A117D1"/>
    <w:rsid w:val="00A14BF0"/>
    <w:rsid w:val="00A156CD"/>
    <w:rsid w:val="00A20306"/>
    <w:rsid w:val="00A21237"/>
    <w:rsid w:val="00A27082"/>
    <w:rsid w:val="00A27EAD"/>
    <w:rsid w:val="00A30624"/>
    <w:rsid w:val="00A33665"/>
    <w:rsid w:val="00A3426D"/>
    <w:rsid w:val="00A34DA3"/>
    <w:rsid w:val="00A35FFD"/>
    <w:rsid w:val="00A42C52"/>
    <w:rsid w:val="00A44D30"/>
    <w:rsid w:val="00A521C9"/>
    <w:rsid w:val="00A53EBE"/>
    <w:rsid w:val="00A5471B"/>
    <w:rsid w:val="00A6094B"/>
    <w:rsid w:val="00A6125A"/>
    <w:rsid w:val="00A64689"/>
    <w:rsid w:val="00A6644F"/>
    <w:rsid w:val="00A72EC8"/>
    <w:rsid w:val="00A73584"/>
    <w:rsid w:val="00A759BA"/>
    <w:rsid w:val="00A7635A"/>
    <w:rsid w:val="00A769F6"/>
    <w:rsid w:val="00A80E34"/>
    <w:rsid w:val="00A827E0"/>
    <w:rsid w:val="00A8310B"/>
    <w:rsid w:val="00A84F0E"/>
    <w:rsid w:val="00A8677C"/>
    <w:rsid w:val="00A9066A"/>
    <w:rsid w:val="00A9262E"/>
    <w:rsid w:val="00A95A4A"/>
    <w:rsid w:val="00A9659C"/>
    <w:rsid w:val="00A97E98"/>
    <w:rsid w:val="00AA19DC"/>
    <w:rsid w:val="00AA23BA"/>
    <w:rsid w:val="00AA3D7A"/>
    <w:rsid w:val="00AA6CB3"/>
    <w:rsid w:val="00AB06B6"/>
    <w:rsid w:val="00AB1FAB"/>
    <w:rsid w:val="00AB3C00"/>
    <w:rsid w:val="00AB5267"/>
    <w:rsid w:val="00AB53F3"/>
    <w:rsid w:val="00AB670C"/>
    <w:rsid w:val="00AC029B"/>
    <w:rsid w:val="00AC0F9C"/>
    <w:rsid w:val="00AC2D46"/>
    <w:rsid w:val="00AC42AF"/>
    <w:rsid w:val="00AC5D5C"/>
    <w:rsid w:val="00AD24B8"/>
    <w:rsid w:val="00AD79B3"/>
    <w:rsid w:val="00AE02BD"/>
    <w:rsid w:val="00AE180A"/>
    <w:rsid w:val="00AE1E8D"/>
    <w:rsid w:val="00AE3889"/>
    <w:rsid w:val="00AE5162"/>
    <w:rsid w:val="00AE5247"/>
    <w:rsid w:val="00AE7685"/>
    <w:rsid w:val="00AF08B6"/>
    <w:rsid w:val="00AF2EDA"/>
    <w:rsid w:val="00AF6628"/>
    <w:rsid w:val="00B0433C"/>
    <w:rsid w:val="00B1035B"/>
    <w:rsid w:val="00B12C27"/>
    <w:rsid w:val="00B160E3"/>
    <w:rsid w:val="00B211A0"/>
    <w:rsid w:val="00B21AEE"/>
    <w:rsid w:val="00B221FF"/>
    <w:rsid w:val="00B2551F"/>
    <w:rsid w:val="00B306C1"/>
    <w:rsid w:val="00B30AA0"/>
    <w:rsid w:val="00B32A9C"/>
    <w:rsid w:val="00B36110"/>
    <w:rsid w:val="00B37CD1"/>
    <w:rsid w:val="00B4604B"/>
    <w:rsid w:val="00B47962"/>
    <w:rsid w:val="00B53F07"/>
    <w:rsid w:val="00B55388"/>
    <w:rsid w:val="00B55F80"/>
    <w:rsid w:val="00B56625"/>
    <w:rsid w:val="00B57E79"/>
    <w:rsid w:val="00B62811"/>
    <w:rsid w:val="00B6649A"/>
    <w:rsid w:val="00B71710"/>
    <w:rsid w:val="00B73213"/>
    <w:rsid w:val="00B75C7C"/>
    <w:rsid w:val="00B7688B"/>
    <w:rsid w:val="00B83536"/>
    <w:rsid w:val="00B83DF1"/>
    <w:rsid w:val="00B84D53"/>
    <w:rsid w:val="00B86B77"/>
    <w:rsid w:val="00B926E3"/>
    <w:rsid w:val="00B95377"/>
    <w:rsid w:val="00B97062"/>
    <w:rsid w:val="00BA15CB"/>
    <w:rsid w:val="00BA4458"/>
    <w:rsid w:val="00BA4651"/>
    <w:rsid w:val="00BA69B6"/>
    <w:rsid w:val="00BB21BF"/>
    <w:rsid w:val="00BC00FD"/>
    <w:rsid w:val="00BC1494"/>
    <w:rsid w:val="00BC2C6C"/>
    <w:rsid w:val="00BC4C47"/>
    <w:rsid w:val="00BC55CA"/>
    <w:rsid w:val="00BC58E9"/>
    <w:rsid w:val="00BC7D6E"/>
    <w:rsid w:val="00BD1C4A"/>
    <w:rsid w:val="00BD25C4"/>
    <w:rsid w:val="00BD4F9D"/>
    <w:rsid w:val="00BD58B7"/>
    <w:rsid w:val="00BD6734"/>
    <w:rsid w:val="00BE077A"/>
    <w:rsid w:val="00BE3F76"/>
    <w:rsid w:val="00BE4477"/>
    <w:rsid w:val="00BE4919"/>
    <w:rsid w:val="00BE4E51"/>
    <w:rsid w:val="00BE54A3"/>
    <w:rsid w:val="00BE5724"/>
    <w:rsid w:val="00BE6625"/>
    <w:rsid w:val="00BF1572"/>
    <w:rsid w:val="00BF305E"/>
    <w:rsid w:val="00BF650A"/>
    <w:rsid w:val="00C010B6"/>
    <w:rsid w:val="00C044B2"/>
    <w:rsid w:val="00C07A82"/>
    <w:rsid w:val="00C168D8"/>
    <w:rsid w:val="00C16CFB"/>
    <w:rsid w:val="00C20DAC"/>
    <w:rsid w:val="00C22A28"/>
    <w:rsid w:val="00C24620"/>
    <w:rsid w:val="00C2558B"/>
    <w:rsid w:val="00C26A79"/>
    <w:rsid w:val="00C359FF"/>
    <w:rsid w:val="00C41895"/>
    <w:rsid w:val="00C4722B"/>
    <w:rsid w:val="00C50492"/>
    <w:rsid w:val="00C505F2"/>
    <w:rsid w:val="00C531D1"/>
    <w:rsid w:val="00C54DA6"/>
    <w:rsid w:val="00C55980"/>
    <w:rsid w:val="00C564E3"/>
    <w:rsid w:val="00C56ABF"/>
    <w:rsid w:val="00C571DB"/>
    <w:rsid w:val="00C6014A"/>
    <w:rsid w:val="00C617B8"/>
    <w:rsid w:val="00C6240B"/>
    <w:rsid w:val="00C63157"/>
    <w:rsid w:val="00C6330C"/>
    <w:rsid w:val="00C6557A"/>
    <w:rsid w:val="00C7405F"/>
    <w:rsid w:val="00C76465"/>
    <w:rsid w:val="00C85588"/>
    <w:rsid w:val="00C9576A"/>
    <w:rsid w:val="00CA0716"/>
    <w:rsid w:val="00CA1371"/>
    <w:rsid w:val="00CA256B"/>
    <w:rsid w:val="00CA5C30"/>
    <w:rsid w:val="00CA5D04"/>
    <w:rsid w:val="00CB0B54"/>
    <w:rsid w:val="00CB1FD6"/>
    <w:rsid w:val="00CB33D3"/>
    <w:rsid w:val="00CB4FE6"/>
    <w:rsid w:val="00CB545D"/>
    <w:rsid w:val="00CB7446"/>
    <w:rsid w:val="00CC0C10"/>
    <w:rsid w:val="00CC1D02"/>
    <w:rsid w:val="00CC26BC"/>
    <w:rsid w:val="00CC29A5"/>
    <w:rsid w:val="00CC41E1"/>
    <w:rsid w:val="00CD4572"/>
    <w:rsid w:val="00CD5270"/>
    <w:rsid w:val="00CE2131"/>
    <w:rsid w:val="00CF2FEA"/>
    <w:rsid w:val="00D0297F"/>
    <w:rsid w:val="00D04BD4"/>
    <w:rsid w:val="00D0518F"/>
    <w:rsid w:val="00D06D93"/>
    <w:rsid w:val="00D100E4"/>
    <w:rsid w:val="00D10515"/>
    <w:rsid w:val="00D143FA"/>
    <w:rsid w:val="00D20C9D"/>
    <w:rsid w:val="00D258E0"/>
    <w:rsid w:val="00D27555"/>
    <w:rsid w:val="00D31DEA"/>
    <w:rsid w:val="00D36947"/>
    <w:rsid w:val="00D4017B"/>
    <w:rsid w:val="00D402A0"/>
    <w:rsid w:val="00D43ADA"/>
    <w:rsid w:val="00D4405F"/>
    <w:rsid w:val="00D550BE"/>
    <w:rsid w:val="00D6192F"/>
    <w:rsid w:val="00D61E7B"/>
    <w:rsid w:val="00D6394A"/>
    <w:rsid w:val="00D64AFC"/>
    <w:rsid w:val="00D66FB0"/>
    <w:rsid w:val="00D73046"/>
    <w:rsid w:val="00D73B7F"/>
    <w:rsid w:val="00D762E7"/>
    <w:rsid w:val="00D76447"/>
    <w:rsid w:val="00D806ED"/>
    <w:rsid w:val="00D8107F"/>
    <w:rsid w:val="00D81175"/>
    <w:rsid w:val="00D813F2"/>
    <w:rsid w:val="00D8230F"/>
    <w:rsid w:val="00D851E7"/>
    <w:rsid w:val="00D85F48"/>
    <w:rsid w:val="00D87D1B"/>
    <w:rsid w:val="00D90D89"/>
    <w:rsid w:val="00D94830"/>
    <w:rsid w:val="00D95C2D"/>
    <w:rsid w:val="00D97C57"/>
    <w:rsid w:val="00DA03AA"/>
    <w:rsid w:val="00DA206C"/>
    <w:rsid w:val="00DA25F6"/>
    <w:rsid w:val="00DA4D5E"/>
    <w:rsid w:val="00DA6C9E"/>
    <w:rsid w:val="00DA79C2"/>
    <w:rsid w:val="00DB06E8"/>
    <w:rsid w:val="00DB4B78"/>
    <w:rsid w:val="00DB4D1A"/>
    <w:rsid w:val="00DB6EA6"/>
    <w:rsid w:val="00DC5242"/>
    <w:rsid w:val="00DC7998"/>
    <w:rsid w:val="00DE0350"/>
    <w:rsid w:val="00DE34E4"/>
    <w:rsid w:val="00DE3918"/>
    <w:rsid w:val="00DE3E12"/>
    <w:rsid w:val="00DE4811"/>
    <w:rsid w:val="00DE59FB"/>
    <w:rsid w:val="00DF3073"/>
    <w:rsid w:val="00DF3237"/>
    <w:rsid w:val="00DF64C4"/>
    <w:rsid w:val="00DF6BFF"/>
    <w:rsid w:val="00E01D7E"/>
    <w:rsid w:val="00E05C5C"/>
    <w:rsid w:val="00E107AB"/>
    <w:rsid w:val="00E10D61"/>
    <w:rsid w:val="00E1553F"/>
    <w:rsid w:val="00E157AC"/>
    <w:rsid w:val="00E15A44"/>
    <w:rsid w:val="00E167F9"/>
    <w:rsid w:val="00E22770"/>
    <w:rsid w:val="00E251C1"/>
    <w:rsid w:val="00E26082"/>
    <w:rsid w:val="00E26E83"/>
    <w:rsid w:val="00E304A8"/>
    <w:rsid w:val="00E37FE0"/>
    <w:rsid w:val="00E45634"/>
    <w:rsid w:val="00E45E51"/>
    <w:rsid w:val="00E469B9"/>
    <w:rsid w:val="00E47CC8"/>
    <w:rsid w:val="00E505CC"/>
    <w:rsid w:val="00E53932"/>
    <w:rsid w:val="00E54F7C"/>
    <w:rsid w:val="00E5649D"/>
    <w:rsid w:val="00E56E82"/>
    <w:rsid w:val="00E619B4"/>
    <w:rsid w:val="00E631D1"/>
    <w:rsid w:val="00E6696B"/>
    <w:rsid w:val="00E677EF"/>
    <w:rsid w:val="00E702B6"/>
    <w:rsid w:val="00E752A6"/>
    <w:rsid w:val="00E75CD8"/>
    <w:rsid w:val="00E81AEE"/>
    <w:rsid w:val="00E82A0F"/>
    <w:rsid w:val="00E83A92"/>
    <w:rsid w:val="00E83CE2"/>
    <w:rsid w:val="00E9647A"/>
    <w:rsid w:val="00E96783"/>
    <w:rsid w:val="00EA091D"/>
    <w:rsid w:val="00EA252F"/>
    <w:rsid w:val="00EA39D3"/>
    <w:rsid w:val="00EA3F9E"/>
    <w:rsid w:val="00EA40C2"/>
    <w:rsid w:val="00EB2E44"/>
    <w:rsid w:val="00EB3F8D"/>
    <w:rsid w:val="00EB7D49"/>
    <w:rsid w:val="00ED0DCE"/>
    <w:rsid w:val="00ED6D92"/>
    <w:rsid w:val="00EE3E05"/>
    <w:rsid w:val="00EE3E52"/>
    <w:rsid w:val="00EE6153"/>
    <w:rsid w:val="00EE789D"/>
    <w:rsid w:val="00F01B42"/>
    <w:rsid w:val="00F053C3"/>
    <w:rsid w:val="00F118AD"/>
    <w:rsid w:val="00F164DA"/>
    <w:rsid w:val="00F16B1D"/>
    <w:rsid w:val="00F214FD"/>
    <w:rsid w:val="00F22E28"/>
    <w:rsid w:val="00F249FE"/>
    <w:rsid w:val="00F27B53"/>
    <w:rsid w:val="00F3087A"/>
    <w:rsid w:val="00F34C99"/>
    <w:rsid w:val="00F359FF"/>
    <w:rsid w:val="00F459B9"/>
    <w:rsid w:val="00F47356"/>
    <w:rsid w:val="00F53804"/>
    <w:rsid w:val="00F538F4"/>
    <w:rsid w:val="00F53C84"/>
    <w:rsid w:val="00F5504D"/>
    <w:rsid w:val="00F56335"/>
    <w:rsid w:val="00F60BAA"/>
    <w:rsid w:val="00F627BC"/>
    <w:rsid w:val="00F67D8C"/>
    <w:rsid w:val="00F77C18"/>
    <w:rsid w:val="00F77EE8"/>
    <w:rsid w:val="00F8022F"/>
    <w:rsid w:val="00F828CC"/>
    <w:rsid w:val="00F83861"/>
    <w:rsid w:val="00F85CF9"/>
    <w:rsid w:val="00F85DFC"/>
    <w:rsid w:val="00F901BD"/>
    <w:rsid w:val="00F91954"/>
    <w:rsid w:val="00F9568B"/>
    <w:rsid w:val="00F97794"/>
    <w:rsid w:val="00FA1CDE"/>
    <w:rsid w:val="00FA1DA2"/>
    <w:rsid w:val="00FA6B33"/>
    <w:rsid w:val="00FA6D89"/>
    <w:rsid w:val="00FB336E"/>
    <w:rsid w:val="00FB528C"/>
    <w:rsid w:val="00FC2D05"/>
    <w:rsid w:val="00FC366D"/>
    <w:rsid w:val="00FD0660"/>
    <w:rsid w:val="00FD1D04"/>
    <w:rsid w:val="00FD1FA9"/>
    <w:rsid w:val="00FD5261"/>
    <w:rsid w:val="00FD6452"/>
    <w:rsid w:val="00FE71CD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406F4E-E9DF-4D2D-B9DE-B79A7484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74FE"/>
    <w:pPr>
      <w:spacing w:before="120" w:after="240" w:line="288" w:lineRule="auto"/>
      <w:ind w:firstLine="709"/>
      <w:jc w:val="both"/>
    </w:pPr>
    <w:rPr>
      <w:rFonts w:ascii="Arial" w:hAnsi="Arial"/>
      <w:sz w:val="22"/>
    </w:rPr>
  </w:style>
  <w:style w:type="paragraph" w:styleId="Nadpis1">
    <w:name w:val="heading 1"/>
    <w:next w:val="Normln"/>
    <w:uiPriority w:val="9"/>
    <w:qFormat/>
    <w:rsid w:val="003B3CE0"/>
    <w:pPr>
      <w:numPr>
        <w:numId w:val="4"/>
      </w:numPr>
      <w:spacing w:before="720" w:after="720"/>
      <w:jc w:val="center"/>
      <w:outlineLvl w:val="0"/>
    </w:pPr>
    <w:rPr>
      <w:rFonts w:ascii="Impact" w:hAnsi="Impact"/>
      <w:sz w:val="48"/>
      <w:szCs w:val="48"/>
      <w:u w:val="single"/>
    </w:rPr>
  </w:style>
  <w:style w:type="paragraph" w:styleId="Nadpis2">
    <w:name w:val="heading 2"/>
    <w:basedOn w:val="Normln"/>
    <w:next w:val="Normln"/>
    <w:uiPriority w:val="9"/>
    <w:qFormat/>
    <w:rsid w:val="00D0297F"/>
    <w:pPr>
      <w:keepNext/>
      <w:numPr>
        <w:ilvl w:val="1"/>
        <w:numId w:val="4"/>
      </w:numPr>
      <w:spacing w:before="360"/>
      <w:outlineLvl w:val="1"/>
    </w:pPr>
    <w:rPr>
      <w:rFonts w:cs="Arial"/>
      <w:b/>
      <w:bCs/>
      <w:szCs w:val="24"/>
    </w:rPr>
  </w:style>
  <w:style w:type="paragraph" w:styleId="Nadpis3">
    <w:name w:val="heading 3"/>
    <w:next w:val="Normln"/>
    <w:uiPriority w:val="9"/>
    <w:qFormat/>
    <w:rsid w:val="007D2F27"/>
    <w:pPr>
      <w:keepNext/>
      <w:numPr>
        <w:ilvl w:val="2"/>
        <w:numId w:val="4"/>
      </w:numPr>
      <w:tabs>
        <w:tab w:val="left" w:pos="510"/>
      </w:tabs>
      <w:spacing w:before="240" w:after="60"/>
      <w:jc w:val="both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rsid w:val="002D74FE"/>
    <w:pPr>
      <w:keepNext/>
      <w:numPr>
        <w:ilvl w:val="3"/>
        <w:numId w:val="4"/>
      </w:numPr>
      <w:spacing w:before="240" w:after="120"/>
      <w:outlineLvl w:val="3"/>
    </w:pPr>
    <w:rPr>
      <w:rFonts w:cs="Arial"/>
      <w:bCs/>
      <w:i/>
      <w:szCs w:val="22"/>
    </w:rPr>
  </w:style>
  <w:style w:type="paragraph" w:styleId="Nadpis5">
    <w:name w:val="heading 5"/>
    <w:basedOn w:val="Normln"/>
    <w:next w:val="Normln"/>
    <w:uiPriority w:val="9"/>
    <w:qFormat/>
    <w:pPr>
      <w:keepNext/>
      <w:widowControl w:val="0"/>
      <w:numPr>
        <w:numId w:val="2"/>
      </w:numPr>
      <w:autoSpaceDE w:val="0"/>
      <w:autoSpaceDN w:val="0"/>
      <w:adjustRightInd w:val="0"/>
      <w:spacing w:line="228" w:lineRule="auto"/>
      <w:outlineLvl w:val="4"/>
    </w:pPr>
    <w:rPr>
      <w:rFonts w:ascii="Arial Narrow" w:hAnsi="Arial Narrow"/>
      <w:b/>
      <w:bCs/>
      <w:sz w:val="52"/>
      <w:szCs w:val="52"/>
      <w:u w:val="single"/>
    </w:rPr>
  </w:style>
  <w:style w:type="paragraph" w:styleId="Nadpis6">
    <w:name w:val="heading 6"/>
    <w:basedOn w:val="Normln"/>
    <w:next w:val="Normln"/>
    <w:qFormat/>
    <w:rsid w:val="00990105"/>
    <w:pPr>
      <w:keepNext/>
      <w:widowControl w:val="0"/>
      <w:numPr>
        <w:numId w:val="3"/>
      </w:numPr>
      <w:tabs>
        <w:tab w:val="left" w:pos="-426"/>
      </w:tabs>
      <w:autoSpaceDE w:val="0"/>
      <w:autoSpaceDN w:val="0"/>
      <w:adjustRightInd w:val="0"/>
      <w:spacing w:line="228" w:lineRule="auto"/>
      <w:jc w:val="left"/>
      <w:outlineLvl w:val="5"/>
    </w:pPr>
    <w:rPr>
      <w:b/>
      <w:szCs w:val="4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90105"/>
    <w:pPr>
      <w:overflowPunct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ascii="Calibri" w:hAnsi="Calibri"/>
      <w:kern w:val="28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90105"/>
    <w:pPr>
      <w:overflowPunct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ascii="Calibri" w:hAnsi="Calibri"/>
      <w:i/>
      <w:iCs/>
      <w:kern w:val="28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90105"/>
    <w:pPr>
      <w:overflowPunct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Calibri Light" w:hAnsi="Calibri Light"/>
      <w:kern w:val="28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1B3F69"/>
    <w:pPr>
      <w:ind w:left="284" w:hanging="284"/>
    </w:pPr>
    <w:rPr>
      <w:rFonts w:ascii="Arial Narrow" w:hAnsi="Arial Narrow"/>
      <w:szCs w:val="24"/>
    </w:rPr>
  </w:style>
  <w:style w:type="paragraph" w:customStyle="1" w:styleId="Styl6">
    <w:name w:val="Styl6"/>
    <w:basedOn w:val="Normln"/>
    <w:autoRedefine/>
    <w:pPr>
      <w:numPr>
        <w:numId w:val="1"/>
      </w:numPr>
      <w:spacing w:before="480"/>
    </w:pPr>
    <w:rPr>
      <w:b/>
      <w:bCs/>
      <w:szCs w:val="24"/>
      <w:u w:val="single"/>
    </w:rPr>
  </w:style>
  <w:style w:type="character" w:customStyle="1" w:styleId="Styl6CharChar">
    <w:name w:val="Styl6 Char Char"/>
    <w:rPr>
      <w:b/>
      <w:bCs/>
      <w:sz w:val="24"/>
      <w:szCs w:val="24"/>
      <w:u w:val="single"/>
      <w:lang w:val="cs-CZ" w:eastAsia="cs-CZ" w:bidi="ar-SA"/>
    </w:rPr>
  </w:style>
  <w:style w:type="paragraph" w:customStyle="1" w:styleId="normln0">
    <w:name w:val="normální"/>
    <w:basedOn w:val="Normln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customStyle="1" w:styleId="StylZkladntext">
    <w:name w:val="Styl Základní text"/>
    <w:aliases w:val="Základní text Char + Automatická"/>
    <w:basedOn w:val="Zkladntext"/>
    <w:pPr>
      <w:overflowPunct/>
      <w:autoSpaceDE/>
      <w:autoSpaceDN/>
      <w:adjustRightInd/>
      <w:textAlignment w:val="auto"/>
    </w:pPr>
    <w:rPr>
      <w:rFonts w:ascii="Arial Narrow" w:hAnsi="Arial Narrow"/>
      <w:snapToGrid w:val="0"/>
      <w:color w:val="000000"/>
    </w:rPr>
  </w:style>
  <w:style w:type="character" w:customStyle="1" w:styleId="StylZkladntext0">
    <w:name w:val="Styl Základní text"/>
    <w:aliases w:val="Základní text Char + Automatická Char"/>
    <w:rPr>
      <w:rFonts w:ascii="Arial Narrow" w:hAnsi="Arial Narrow"/>
      <w:snapToGrid w:val="0"/>
      <w:color w:val="000000"/>
      <w:sz w:val="22"/>
      <w:lang w:val="cs-CZ" w:eastAsia="cs-CZ" w:bidi="ar-SA"/>
    </w:rPr>
  </w:style>
  <w:style w:type="character" w:customStyle="1" w:styleId="StylZkladntextZkladntextCharAutomatickChar">
    <w:name w:val="Styl Základní text;Základní text Char + Automatická Char"/>
    <w:rPr>
      <w:rFonts w:ascii="Arial Narrow" w:hAnsi="Arial Narrow"/>
      <w:snapToGrid w:val="0"/>
      <w:color w:val="000000"/>
      <w:sz w:val="22"/>
      <w:lang w:val="cs-CZ" w:eastAsia="cs-CZ" w:bidi="ar-SA"/>
    </w:rPr>
  </w:style>
  <w:style w:type="character" w:styleId="Zdraznn">
    <w:name w:val="Emphasis"/>
    <w:qFormat/>
    <w:rPr>
      <w:rFonts w:ascii="Arial" w:hAnsi="Arial"/>
      <w:b/>
      <w:sz w:val="20"/>
    </w:r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Zkladntext-prvnodsazen">
    <w:name w:val="Body Text First Indent"/>
    <w:basedOn w:val="Zkladntext"/>
    <w:pPr>
      <w:overflowPunct/>
      <w:autoSpaceDE/>
      <w:autoSpaceDN/>
      <w:adjustRightInd/>
      <w:ind w:firstLine="210"/>
      <w:jc w:val="both"/>
      <w:textAlignment w:val="auto"/>
    </w:pPr>
  </w:style>
  <w:style w:type="character" w:customStyle="1" w:styleId="Nadpis3Char">
    <w:name w:val="Nadpis 3 Char"/>
    <w:aliases w:val=" Char Char"/>
    <w:rPr>
      <w:rFonts w:ascii="Arial" w:hAnsi="Arial"/>
      <w:b/>
      <w:smallCaps/>
      <w:sz w:val="22"/>
      <w:lang w:val="cs-CZ" w:eastAsia="cs-CZ" w:bidi="ar-SA"/>
    </w:rPr>
  </w:style>
  <w:style w:type="paragraph" w:styleId="Zkladntext3">
    <w:name w:val="Body Text 3"/>
    <w:basedOn w:val="Normln"/>
    <w:rPr>
      <w:sz w:val="16"/>
      <w:szCs w:val="16"/>
    </w:rPr>
  </w:style>
  <w:style w:type="character" w:customStyle="1" w:styleId="ZkladntextChar">
    <w:name w:val="Základní text Char"/>
    <w:rPr>
      <w:sz w:val="24"/>
      <w:lang w:val="cs-CZ" w:eastAsia="cs-CZ" w:bidi="ar-SA"/>
    </w:rPr>
  </w:style>
  <w:style w:type="paragraph" w:styleId="Zkladntextodsazen">
    <w:name w:val="Body Text Indent"/>
    <w:basedOn w:val="Normln"/>
    <w:pPr>
      <w:ind w:left="283"/>
    </w:pPr>
  </w:style>
  <w:style w:type="paragraph" w:customStyle="1" w:styleId="Vchoz">
    <w:name w:val="Výchozí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lotextu">
    <w:name w:val="Tělo textu"/>
    <w:basedOn w:val="Vchoz"/>
    <w:pPr>
      <w:jc w:val="both"/>
    </w:pPr>
    <w:rPr>
      <w:rFonts w:hAnsi="Tahoma"/>
      <w:lang w:val="en-US"/>
    </w:rPr>
  </w:style>
  <w:style w:type="paragraph" w:customStyle="1" w:styleId="TextOdst">
    <w:name w:val="TextOdst"/>
    <w:basedOn w:val="Vchoz"/>
    <w:pPr>
      <w:spacing w:after="120"/>
      <w:ind w:firstLine="709"/>
    </w:pPr>
    <w:rPr>
      <w:rFonts w:hAnsi="Tahoma"/>
      <w:sz w:val="20"/>
      <w:szCs w:val="20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</w:rPr>
  </w:style>
  <w:style w:type="paragraph" w:styleId="FormtovanvHTML">
    <w:name w:val="HTML Preformatted"/>
    <w:basedOn w:val="Normln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paragraph" w:styleId="Bezmezer">
    <w:name w:val="No Spacing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28"/>
    </w:rPr>
  </w:style>
  <w:style w:type="character" w:styleId="Siln">
    <w:name w:val="Strong"/>
    <w:qFormat/>
    <w:rsid w:val="00004BE9"/>
    <w:rPr>
      <w:b/>
      <w:bCs/>
    </w:rPr>
  </w:style>
  <w:style w:type="paragraph" w:styleId="Textbubliny">
    <w:name w:val="Balloon Text"/>
    <w:basedOn w:val="Normln"/>
    <w:semiHidden/>
    <w:rsid w:val="0058625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81024C"/>
  </w:style>
  <w:style w:type="character" w:styleId="Zstupntext">
    <w:name w:val="Placeholder Text"/>
    <w:basedOn w:val="Standardnpsmoodstavce"/>
    <w:uiPriority w:val="99"/>
    <w:semiHidden/>
    <w:rsid w:val="00D31DEA"/>
    <w:rPr>
      <w:color w:val="808080"/>
    </w:rPr>
  </w:style>
  <w:style w:type="paragraph" w:styleId="Odstavecseseznamem">
    <w:name w:val="List Paragraph"/>
    <w:basedOn w:val="Normln"/>
    <w:uiPriority w:val="34"/>
    <w:qFormat/>
    <w:rsid w:val="001C27D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41A98"/>
    <w:rPr>
      <w:color w:val="0000FF"/>
      <w:u w:val="single"/>
    </w:rPr>
  </w:style>
  <w:style w:type="paragraph" w:customStyle="1" w:styleId="TomasArial11bTunPodtrenZarovnatdobloku">
    <w:name w:val="Tomas_Arial 11 b. Tučné Podtržení Zarovnat do bloku"/>
    <w:basedOn w:val="Normln"/>
    <w:rsid w:val="00534CA1"/>
    <w:pPr>
      <w:spacing w:after="0"/>
      <w:ind w:firstLine="0"/>
    </w:pPr>
    <w:rPr>
      <w:b/>
      <w:bCs/>
      <w:color w:val="FF0000"/>
      <w:u w:val="single"/>
    </w:rPr>
  </w:style>
  <w:style w:type="paragraph" w:customStyle="1" w:styleId="NormlnIMP">
    <w:name w:val="Normální_IMP"/>
    <w:basedOn w:val="Normln"/>
    <w:rsid w:val="00534CA1"/>
    <w:pPr>
      <w:suppressAutoHyphens/>
      <w:overflowPunct w:val="0"/>
      <w:autoSpaceDE w:val="0"/>
      <w:autoSpaceDN w:val="0"/>
      <w:adjustRightInd w:val="0"/>
      <w:spacing w:after="0" w:line="228" w:lineRule="auto"/>
      <w:ind w:firstLine="0"/>
      <w:jc w:val="left"/>
    </w:pPr>
    <w:rPr>
      <w:rFonts w:ascii="Times New Roman" w:hAnsi="Times New Roman"/>
      <w:sz w:val="24"/>
    </w:rPr>
  </w:style>
  <w:style w:type="paragraph" w:customStyle="1" w:styleId="TomasPodkapitolyArial10tunern">
    <w:name w:val="Tomas_Podkapitoly_Arial_10_tučně_černá"/>
    <w:basedOn w:val="Zkladntext"/>
    <w:rsid w:val="00E9647A"/>
    <w:pPr>
      <w:overflowPunct/>
      <w:autoSpaceDE/>
      <w:autoSpaceDN/>
      <w:adjustRightInd/>
      <w:ind w:firstLine="0"/>
      <w:textAlignment w:val="auto"/>
    </w:pPr>
    <w:rPr>
      <w:b/>
      <w:sz w:val="20"/>
    </w:rPr>
  </w:style>
  <w:style w:type="paragraph" w:customStyle="1" w:styleId="ZkladntextIMP">
    <w:name w:val="Základní text_IMP"/>
    <w:basedOn w:val="Normln"/>
    <w:rsid w:val="00E9647A"/>
    <w:pPr>
      <w:suppressAutoHyphens/>
      <w:overflowPunct w:val="0"/>
      <w:autoSpaceDE w:val="0"/>
      <w:autoSpaceDN w:val="0"/>
      <w:adjustRightInd w:val="0"/>
      <w:spacing w:after="0" w:line="276" w:lineRule="auto"/>
      <w:ind w:firstLine="0"/>
      <w:jc w:val="left"/>
      <w:textAlignment w:val="baseline"/>
    </w:pPr>
    <w:rPr>
      <w:rFonts w:ascii="Times New Roman" w:hAnsi="Times New Roman"/>
      <w:sz w:val="24"/>
    </w:rPr>
  </w:style>
  <w:style w:type="character" w:customStyle="1" w:styleId="AUTEXTChar">
    <w:name w:val="AU_TEXT Char"/>
    <w:link w:val="AUTEXT"/>
    <w:locked/>
    <w:rsid w:val="00382F27"/>
    <w:rPr>
      <w:rFonts w:ascii="Arial" w:hAnsi="Arial" w:cs="Arial"/>
      <w:sz w:val="18"/>
      <w:szCs w:val="18"/>
      <w:lang w:eastAsia="ar-SA"/>
    </w:rPr>
  </w:style>
  <w:style w:type="paragraph" w:customStyle="1" w:styleId="AUTEXT">
    <w:name w:val="AU_TEXT"/>
    <w:basedOn w:val="Normln"/>
    <w:link w:val="AUTEXTChar"/>
    <w:qFormat/>
    <w:rsid w:val="00382F27"/>
    <w:pPr>
      <w:suppressAutoHyphens/>
      <w:spacing w:after="0"/>
      <w:ind w:firstLine="0"/>
    </w:pPr>
    <w:rPr>
      <w:rFonts w:cs="Arial"/>
      <w:sz w:val="18"/>
      <w:szCs w:val="18"/>
      <w:lang w:eastAsia="ar-SA"/>
    </w:rPr>
  </w:style>
  <w:style w:type="paragraph" w:customStyle="1" w:styleId="Zkladntextodsazen23">
    <w:name w:val="Základní text odsazený 23"/>
    <w:basedOn w:val="Normln"/>
    <w:rsid w:val="005E30F4"/>
    <w:pPr>
      <w:overflowPunct w:val="0"/>
      <w:autoSpaceDE w:val="0"/>
      <w:autoSpaceDN w:val="0"/>
      <w:adjustRightInd w:val="0"/>
      <w:spacing w:after="0"/>
      <w:ind w:firstLine="708"/>
      <w:jc w:val="left"/>
      <w:textAlignment w:val="baseline"/>
    </w:pPr>
    <w:rPr>
      <w:rFonts w:ascii="Times New Roman" w:hAnsi="Times New Roman"/>
    </w:rPr>
  </w:style>
  <w:style w:type="character" w:styleId="PromnnHTML">
    <w:name w:val="HTML Variable"/>
    <w:semiHidden/>
    <w:unhideWhenUsed/>
    <w:rsid w:val="000B4335"/>
    <w:rPr>
      <w:b/>
      <w:bCs/>
      <w:i w:val="0"/>
      <w:iCs w:val="0"/>
    </w:rPr>
  </w:style>
  <w:style w:type="paragraph" w:customStyle="1" w:styleId="Text">
    <w:name w:val="Text"/>
    <w:basedOn w:val="Prosttext"/>
    <w:qFormat/>
    <w:rsid w:val="00677238"/>
    <w:pPr>
      <w:overflowPunct w:val="0"/>
      <w:autoSpaceDE w:val="0"/>
      <w:autoSpaceDN w:val="0"/>
      <w:adjustRightInd w:val="0"/>
      <w:spacing w:after="120"/>
      <w:ind w:firstLine="567"/>
    </w:pPr>
    <w:rPr>
      <w:rFonts w:ascii="Arial" w:hAnsi="Arial" w:cs="Courier New"/>
      <w:kern w:val="28"/>
      <w:sz w:val="22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77238"/>
    <w:pPr>
      <w:spacing w:before="0"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77238"/>
    <w:rPr>
      <w:rFonts w:ascii="Consolas" w:hAnsi="Consolas"/>
      <w:sz w:val="21"/>
      <w:szCs w:val="21"/>
    </w:rPr>
  </w:style>
  <w:style w:type="paragraph" w:customStyle="1" w:styleId="BezmezerCharCharChar">
    <w:name w:val="Bez mezer Char Char Char"/>
    <w:link w:val="BezmezerCharCharCharChar"/>
    <w:qFormat/>
    <w:rsid w:val="009944C8"/>
    <w:rPr>
      <w:rFonts w:ascii="Calibri" w:eastAsia="Calibri" w:hAnsi="Calibri"/>
      <w:sz w:val="22"/>
      <w:szCs w:val="22"/>
      <w:lang w:eastAsia="en-US"/>
    </w:rPr>
  </w:style>
  <w:style w:type="character" w:customStyle="1" w:styleId="BezmezerCharCharCharChar">
    <w:name w:val="Bez mezer Char Char Char Char"/>
    <w:link w:val="BezmezerCharCharChar"/>
    <w:rsid w:val="009944C8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82195D"/>
    <w:pPr>
      <w:spacing w:before="0" w:after="200" w:line="276" w:lineRule="auto"/>
      <w:ind w:left="720" w:firstLine="0"/>
      <w:jc w:val="left"/>
    </w:pPr>
    <w:rPr>
      <w:rFonts w:ascii="Calibri" w:hAnsi="Calibri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5650D1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50D1"/>
    <w:pPr>
      <w:spacing w:after="100"/>
      <w:ind w:left="220"/>
    </w:pPr>
  </w:style>
  <w:style w:type="paragraph" w:customStyle="1" w:styleId="BezmezerCharChar">
    <w:name w:val="Bez mezer Char Char"/>
    <w:qFormat/>
    <w:rsid w:val="005F3191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90105"/>
    <w:rPr>
      <w:rFonts w:ascii="Calibri" w:hAnsi="Calibri"/>
      <w:kern w:val="28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90105"/>
    <w:rPr>
      <w:rFonts w:ascii="Calibri" w:hAnsi="Calibri"/>
      <w:i/>
      <w:iCs/>
      <w:kern w:val="28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90105"/>
    <w:rPr>
      <w:rFonts w:ascii="Calibri Light" w:hAnsi="Calibri Light"/>
      <w:kern w:val="28"/>
      <w:sz w:val="22"/>
      <w:szCs w:val="22"/>
    </w:rPr>
  </w:style>
  <w:style w:type="paragraph" w:customStyle="1" w:styleId="TextMar">
    <w:name w:val="TextMar"/>
    <w:basedOn w:val="Normln"/>
    <w:rsid w:val="00F359FF"/>
    <w:pPr>
      <w:overflowPunct w:val="0"/>
      <w:autoSpaceDE w:val="0"/>
      <w:autoSpaceDN w:val="0"/>
      <w:adjustRightInd w:val="0"/>
      <w:spacing w:before="0" w:after="120" w:line="240" w:lineRule="auto"/>
      <w:jc w:val="lef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teliery@a1sro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ateliery@a1sro.cz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99A8D612EC7441D8DB78D98F877E0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CAAC6F-59D0-4FCA-A69F-20AE2D5459FE}"/>
      </w:docPartPr>
      <w:docPartBody>
        <w:p w:rsidR="0002308C" w:rsidRDefault="002B4983" w:rsidP="002B4983">
          <w:pPr>
            <w:pStyle w:val="699A8D612EC7441D8DB78D98F877E053"/>
          </w:pPr>
          <w:r w:rsidRPr="009B354C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27"/>
    <w:rsid w:val="0002308C"/>
    <w:rsid w:val="00073D8B"/>
    <w:rsid w:val="000C7CF4"/>
    <w:rsid w:val="00115636"/>
    <w:rsid w:val="0015501E"/>
    <w:rsid w:val="001B1AB8"/>
    <w:rsid w:val="00262352"/>
    <w:rsid w:val="002A38D1"/>
    <w:rsid w:val="002B4983"/>
    <w:rsid w:val="002E2B6D"/>
    <w:rsid w:val="0033663E"/>
    <w:rsid w:val="00341A79"/>
    <w:rsid w:val="0035237A"/>
    <w:rsid w:val="003705CF"/>
    <w:rsid w:val="003C79F4"/>
    <w:rsid w:val="00402EEC"/>
    <w:rsid w:val="00417127"/>
    <w:rsid w:val="004939A0"/>
    <w:rsid w:val="004D4541"/>
    <w:rsid w:val="004E6843"/>
    <w:rsid w:val="005A3F50"/>
    <w:rsid w:val="00670BAD"/>
    <w:rsid w:val="00697FF3"/>
    <w:rsid w:val="006D70D8"/>
    <w:rsid w:val="006E1E7C"/>
    <w:rsid w:val="007832FA"/>
    <w:rsid w:val="007A112C"/>
    <w:rsid w:val="008751FB"/>
    <w:rsid w:val="00903F61"/>
    <w:rsid w:val="00937CD0"/>
    <w:rsid w:val="009A6168"/>
    <w:rsid w:val="00A10DA2"/>
    <w:rsid w:val="00A20519"/>
    <w:rsid w:val="00AB62B5"/>
    <w:rsid w:val="00B400CB"/>
    <w:rsid w:val="00B95EB5"/>
    <w:rsid w:val="00BE2B3D"/>
    <w:rsid w:val="00C71733"/>
    <w:rsid w:val="00D52E1D"/>
    <w:rsid w:val="00DA129C"/>
    <w:rsid w:val="00E250BB"/>
    <w:rsid w:val="00E572F7"/>
    <w:rsid w:val="00EC3524"/>
    <w:rsid w:val="00F4125C"/>
    <w:rsid w:val="00F47AAC"/>
    <w:rsid w:val="00FB0982"/>
    <w:rsid w:val="00FB403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62B5"/>
    <w:rPr>
      <w:color w:val="808080"/>
    </w:rPr>
  </w:style>
  <w:style w:type="paragraph" w:customStyle="1" w:styleId="699A8D612EC7441D8DB78D98F877E053">
    <w:name w:val="699A8D612EC7441D8DB78D98F877E053"/>
    <w:rsid w:val="002B4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D6BD48-E283-4640-9160-3757C49D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3236</TotalTime>
  <Pages>14</Pages>
  <Words>4030</Words>
  <Characters>23782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27757</CharactersWithSpaces>
  <SharedDoc>false</SharedDoc>
  <HLinks>
    <vt:vector size="12" baseType="variant">
      <vt:variant>
        <vt:i4>2752592</vt:i4>
      </vt:variant>
      <vt:variant>
        <vt:i4>5</vt:i4>
      </vt:variant>
      <vt:variant>
        <vt:i4>0</vt:i4>
      </vt:variant>
      <vt:variant>
        <vt:i4>5</vt:i4>
      </vt:variant>
      <vt:variant>
        <vt:lpwstr>mailto:ateliery@a1sro.cz</vt:lpwstr>
      </vt:variant>
      <vt:variant>
        <vt:lpwstr/>
      </vt:variant>
      <vt:variant>
        <vt:i4>2752592</vt:i4>
      </vt:variant>
      <vt:variant>
        <vt:i4>2</vt:i4>
      </vt:variant>
      <vt:variant>
        <vt:i4>0</vt:i4>
      </vt:variant>
      <vt:variant>
        <vt:i4>5</vt:i4>
      </vt:variant>
      <vt:variant>
        <vt:lpwstr>mailto:ateliery@a1sro.cz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Marie Pokorná</dc:creator>
  <cp:keywords/>
  <dc:description/>
  <cp:lastModifiedBy>Oliver-A1</cp:lastModifiedBy>
  <cp:revision>144</cp:revision>
  <cp:lastPrinted>2018-11-23T12:30:00Z</cp:lastPrinted>
  <dcterms:created xsi:type="dcterms:W3CDTF">2017-05-05T12:34:00Z</dcterms:created>
  <dcterms:modified xsi:type="dcterms:W3CDTF">2018-11-23T12:39:00Z</dcterms:modified>
  <cp:category>Z1810</cp:category>
</cp:coreProperties>
</file>