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D7CD5" w:rsidRPr="006D7CD5">
        <w:t>„</w:t>
      </w:r>
      <w:r w:rsidR="006C44A3" w:rsidRPr="006C44A3">
        <w:t>Červenka TNS  - Oprava dešťové kanalizace a oplocení</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4D178B">
        <w:rPr>
          <w:b/>
        </w:rPr>
        <w:t>"[</w:t>
      </w:r>
      <w:r w:rsidRPr="004D178B">
        <w:rPr>
          <w:b/>
          <w:highlight w:val="green"/>
        </w:rPr>
        <w:t>VLOŽÍ OBJEDNATEL</w:t>
      </w:r>
      <w:r w:rsidRPr="004D178B">
        <w:rPr>
          <w:b/>
        </w:rP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C44A3">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6C44A3">
        <w:t xml:space="preserve">63320142 </w:t>
      </w:r>
      <w:r w:rsidRPr="00F97DBD">
        <w:t xml:space="preserve">svůj úmysl zadat </w:t>
      </w:r>
      <w:r>
        <w:t xml:space="preserve">ve výběrovém řízení </w:t>
      </w:r>
      <w:r w:rsidRPr="00F97DBD">
        <w:t xml:space="preserve">veřejnou zakázku s názvem </w:t>
      </w:r>
      <w:r w:rsidR="006D7CD5" w:rsidRPr="006D7CD5">
        <w:rPr>
          <w:b/>
        </w:rPr>
        <w:t>„</w:t>
      </w:r>
      <w:r w:rsidR="006C44A3" w:rsidRPr="006C44A3">
        <w:rPr>
          <w:b/>
        </w:rPr>
        <w:t>Červenka TNS  - Oprava dešťové kanalizace a oplocení</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6C44A3" w:rsidRPr="0050450B">
          <w:rPr>
            <w:rStyle w:val="Hypertextovodkaz"/>
            <w:noProof w:val="0"/>
          </w:rPr>
          <w:t>http://www.szdc.cz/dalsi-informace/dokumenty-a-predpisy.html</w:t>
        </w:r>
      </w:hyperlink>
      <w:r w:rsidR="006C44A3">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w:t>
      </w:r>
      <w:proofErr w:type="gramStart"/>
      <w:r w:rsidR="00F24489" w:rsidRPr="006D7CD5">
        <w:t>této</w:t>
      </w:r>
      <w:proofErr w:type="gramEnd"/>
      <w:r w:rsidR="00F24489" w:rsidRPr="006D7CD5">
        <w:t xml:space="preserve"> Smlouvy.</w:t>
      </w:r>
    </w:p>
    <w:p w:rsidR="00F24489" w:rsidRPr="006D7CD5"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w:t>
      </w:r>
      <w:proofErr w:type="spellStart"/>
      <w:r w:rsidRPr="006D7CD5">
        <w:t>ust</w:t>
      </w:r>
      <w:proofErr w:type="spellEnd"/>
      <w:r w:rsidRPr="006D7CD5">
        <w:t xml:space="preserve">. § 92a, </w:t>
      </w:r>
      <w:r w:rsidR="006D7CD5" w:rsidRPr="006D7CD5">
        <w:t>zákona č.</w:t>
      </w:r>
      <w:r w:rsidRPr="006D7CD5">
        <w:t xml:space="preserve"> 235/2004 Sb., o dani z přidané hodnoty, ve znění pozdějších předpisů (dále jen „zákona o DPH“), osobou povinnou k dani dle </w:t>
      </w:r>
      <w:proofErr w:type="spellStart"/>
      <w:r w:rsidRPr="006D7CD5">
        <w:t>ust</w:t>
      </w:r>
      <w:proofErr w:type="spellEnd"/>
      <w:r w:rsidRPr="006D7CD5">
        <w:t xml:space="preserve">. § 5 odst. 1 zákona o DPH, neboť přijatá plnění použije pro svou ekonomickou činnost, a je tedy osobou povinnou přiznat a zaplatit DPH </w:t>
      </w:r>
      <w:r w:rsidR="006D7CD5" w:rsidRPr="006D7CD5">
        <w:t xml:space="preserve">dle </w:t>
      </w:r>
      <w:proofErr w:type="spellStart"/>
      <w:r w:rsidR="006D7CD5" w:rsidRPr="006D7CD5">
        <w:t>ust</w:t>
      </w:r>
      <w:proofErr w:type="spellEnd"/>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 xml:space="preserve">smyslu </w:t>
      </w:r>
      <w:proofErr w:type="spellStart"/>
      <w:r w:rsidR="006D7CD5" w:rsidRPr="006D7CD5">
        <w:t>ust</w:t>
      </w:r>
      <w:proofErr w:type="spellEnd"/>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351221">
        <w:rPr>
          <w:rFonts w:ascii="Verdana" w:eastAsia="Verdana" w:hAnsi="Verdana" w:cs="Times New Roman"/>
          <w:b/>
        </w:rPr>
        <w:t>prosince</w:t>
      </w:r>
      <w:r w:rsidRPr="006D7CD5">
        <w:rPr>
          <w:rFonts w:ascii="Verdana" w:eastAsia="Verdana" w:hAnsi="Verdana" w:cs="Times New Roman"/>
          <w:b/>
        </w:rPr>
        <w:t xml:space="preserve"> 20</w:t>
      </w:r>
      <w:r w:rsidR="00E508A6">
        <w:rPr>
          <w:rFonts w:ascii="Verdana" w:eastAsia="Verdana" w:hAnsi="Verdana" w:cs="Times New Roman"/>
          <w:b/>
        </w:rPr>
        <w:t>20</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4D178B" w:rsidRDefault="00F24489" w:rsidP="00351221">
      <w:pPr>
        <w:pStyle w:val="Text1-1"/>
        <w:jc w:val="left"/>
      </w:pPr>
      <w:r w:rsidRPr="00F97DBD">
        <w:t>Místo plnění</w:t>
      </w:r>
      <w:r w:rsidR="004D178B">
        <w:t>:</w:t>
      </w:r>
      <w:r w:rsidR="00F05CA7" w:rsidRPr="00F05CA7">
        <w:t xml:space="preserve"> </w:t>
      </w:r>
      <w:r w:rsidR="00351221" w:rsidRPr="00351221">
        <w:t xml:space="preserve">areál TNS Hoštejn, k. </w:t>
      </w:r>
      <w:proofErr w:type="spellStart"/>
      <w:r w:rsidR="00351221" w:rsidRPr="00351221">
        <w:t>ú.</w:t>
      </w:r>
      <w:proofErr w:type="spellEnd"/>
      <w:r w:rsidR="00351221" w:rsidRPr="00351221">
        <w:t xml:space="preserve"> Hynčina, p. č. 2241/1, </w:t>
      </w:r>
      <w:proofErr w:type="spellStart"/>
      <w:proofErr w:type="gramStart"/>
      <w:r w:rsidR="00351221" w:rsidRPr="00351221">
        <w:t>k.ú</w:t>
      </w:r>
      <w:proofErr w:type="spellEnd"/>
      <w:r w:rsidR="00351221" w:rsidRPr="00351221">
        <w:t xml:space="preserve"> Hoštejn</w:t>
      </w:r>
      <w:proofErr w:type="gramEnd"/>
      <w:r w:rsidR="00351221" w:rsidRPr="00351221">
        <w:t>,</w:t>
      </w:r>
      <w:r w:rsidR="00351221">
        <w:t xml:space="preserve"> </w:t>
      </w:r>
      <w:proofErr w:type="spellStart"/>
      <w:r w:rsidR="00351221" w:rsidRPr="00351221">
        <w:t>p.č</w:t>
      </w:r>
      <w:proofErr w:type="spellEnd"/>
      <w:r w:rsidR="00351221" w:rsidRPr="00351221">
        <w:t>. 112/2</w:t>
      </w:r>
    </w:p>
    <w:p w:rsidR="00F24489" w:rsidRPr="00BB7A45" w:rsidRDefault="00214C3E" w:rsidP="00214C3E">
      <w:pPr>
        <w:pStyle w:val="Nadpis1-1"/>
      </w:pPr>
      <w:r w:rsidRPr="00214C3E">
        <w:lastRenderedPageBreak/>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lastRenderedPageBreak/>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21999" w:rsidRPr="00621999">
        <w:rPr>
          <w:b/>
          <w:lang w:val="en-US"/>
        </w:rPr>
        <w:t xml:space="preserve">(2) </w:t>
      </w:r>
      <w:proofErr w:type="spellStart"/>
      <w:r w:rsidR="00621999" w:rsidRPr="0062199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4D178B">
            <w:pPr>
              <w:pStyle w:val="Textbezslovn"/>
              <w:ind w:left="0"/>
            </w:pPr>
            <w:r w:rsidRPr="00F97DBD">
              <w:t xml:space="preserve">Obchodní podmínky – </w:t>
            </w:r>
            <w:r w:rsidR="00621999" w:rsidRPr="0062199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4D178B">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4D178B">
            <w:pPr>
              <w:pStyle w:val="Textbezslovn"/>
              <w:ind w:left="0"/>
            </w:pPr>
            <w:r w:rsidRPr="00F97DBD">
              <w:t xml:space="preserve">b) Všeobecné technické podmínky realizace stavby – </w:t>
            </w:r>
            <w:r w:rsidR="00621999" w:rsidRPr="00621999">
              <w:lastRenderedPageBreak/>
              <w:t>Všeobecné technické podmínky</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4D178B">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4D178B">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4D178B">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4D178B">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4D178B">
            <w:pPr>
              <w:pStyle w:val="Textbezslovn"/>
              <w:ind w:left="0"/>
            </w:pPr>
            <w:r w:rsidRPr="00F97DBD">
              <w:t>Seznam požadovaných pojištění</w:t>
            </w:r>
          </w:p>
        </w:tc>
      </w:tr>
      <w:tr w:rsidR="00214C3E" w:rsidRPr="00F97DBD" w:rsidTr="005A7872">
        <w:trPr>
          <w:jc w:val="center"/>
        </w:trPr>
        <w:tc>
          <w:tcPr>
            <w:tcW w:w="2031" w:type="pct"/>
          </w:tcPr>
          <w:p w:rsidR="00214C3E" w:rsidRDefault="006C44A3"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4D178B">
            <w:pPr>
              <w:pStyle w:val="Textbezslovn"/>
              <w:ind w:left="0"/>
            </w:pPr>
            <w:r w:rsidRPr="00F97DBD">
              <w:t xml:space="preserve">Seznam </w:t>
            </w:r>
            <w:r>
              <w:t>pod</w:t>
            </w:r>
            <w:r w:rsidRPr="00F97DBD">
              <w:t>dodavatelů</w:t>
            </w:r>
          </w:p>
          <w:p w:rsidR="00214C3E" w:rsidRPr="00F97DBD" w:rsidRDefault="00214C3E" w:rsidP="004D178B">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 xml:space="preserve">V Olomouci </w:t>
            </w:r>
            <w:proofErr w:type="gramStart"/>
            <w:r>
              <w:t>dne __.__.______</w:t>
            </w:r>
            <w:proofErr w:type="gramEnd"/>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 xml:space="preserve">V _______ </w:t>
            </w:r>
            <w:proofErr w:type="gramStart"/>
            <w:r>
              <w:t>dne __.__.______</w:t>
            </w:r>
            <w:proofErr w:type="gramEnd"/>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w:t>
            </w:r>
            <w:proofErr w:type="spellStart"/>
            <w:r>
              <w:rPr>
                <w:rFonts w:ascii="Calibri" w:hAnsi="Calibri" w:cs="Calibri"/>
                <w:b w:val="0"/>
                <w:sz w:val="22"/>
                <w:szCs w:val="22"/>
                <w:lang w:val="en-US"/>
              </w:rPr>
              <w:t>Oblastního</w:t>
            </w:r>
            <w:proofErr w:type="spellEnd"/>
            <w:r>
              <w:rPr>
                <w:rFonts w:ascii="Calibri" w:hAnsi="Calibri" w:cs="Calibri"/>
                <w:b w:val="0"/>
                <w:sz w:val="22"/>
                <w:szCs w:val="22"/>
                <w:lang w:val="en-US"/>
              </w:rPr>
              <w:t xml:space="preserve"> </w:t>
            </w:r>
            <w:proofErr w:type="spellStart"/>
            <w:r>
              <w:rPr>
                <w:rFonts w:ascii="Calibri" w:hAnsi="Calibri" w:cs="Calibri"/>
                <w:b w:val="0"/>
                <w:sz w:val="22"/>
                <w:szCs w:val="22"/>
                <w:lang w:val="en-US"/>
              </w:rPr>
              <w:t>ředitelství</w:t>
            </w:r>
            <w:proofErr w:type="spellEnd"/>
            <w:r>
              <w:rPr>
                <w:rFonts w:ascii="Calibri" w:hAnsi="Calibri" w:cs="Calibri"/>
                <w:b w:val="0"/>
                <w:sz w:val="22"/>
                <w:szCs w:val="22"/>
                <w:lang w:val="en-US"/>
              </w:rPr>
              <w:t xml:space="preserve"> Olomouc</w:t>
            </w:r>
          </w:p>
          <w:p w:rsidR="00621999" w:rsidRDefault="00621999" w:rsidP="00621999">
            <w:pPr>
              <w:pStyle w:val="RLdajeosmluvnstran"/>
              <w:spacing w:after="0" w:line="240" w:lineRule="auto"/>
            </w:pPr>
            <w:r>
              <w:t>Správa železnic, 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 xml:space="preserve">Příloha </w:t>
      </w:r>
      <w:r w:rsidR="00351221">
        <w:t>č</w:t>
      </w:r>
      <w:r w:rsidRPr="00F97DBD">
        <w:t>.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3"/>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621999"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ED29F1" w:rsidP="005A7872">
            <w:pPr>
              <w:pStyle w:val="Tabulka"/>
              <w:rPr>
                <w:rStyle w:val="Nadpisvtabulce"/>
              </w:rPr>
            </w:pPr>
            <w:r w:rsidRPr="0062199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Ing. Ladislav Kašpar</w:t>
            </w:r>
          </w:p>
        </w:tc>
      </w:tr>
      <w:tr w:rsidR="00ED29F1" w:rsidRPr="00621999"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Adresa</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sz w:val="18"/>
              </w:rPr>
              <w:t>Nerudova 1, 779 00 Olomouc</w:t>
            </w:r>
          </w:p>
        </w:tc>
      </w:tr>
      <w:tr w:rsidR="00ED29F1" w:rsidRPr="00621999"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E-mail</w:t>
            </w:r>
          </w:p>
        </w:tc>
        <w:tc>
          <w:tcPr>
            <w:tcW w:w="5812" w:type="dxa"/>
          </w:tcPr>
          <w:p w:rsidR="00ED29F1" w:rsidRPr="00621999" w:rsidRDefault="006C44A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621999" w:rsidRPr="00621999">
                <w:rPr>
                  <w:rStyle w:val="Hypertextovodkaz"/>
                  <w:rFonts w:cs="Calibri"/>
                  <w:sz w:val="18"/>
                  <w:lang w:eastAsia="cs-CZ"/>
                </w:rPr>
                <w:t>Kaspar@szdc.cz</w:t>
              </w:r>
            </w:hyperlink>
          </w:p>
        </w:tc>
      </w:tr>
      <w:tr w:rsidR="00ED29F1" w:rsidRPr="00621999"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Telefon</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621999"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ED29F1" w:rsidP="005A7872">
            <w:pPr>
              <w:pStyle w:val="Tabulka"/>
              <w:rPr>
                <w:rStyle w:val="Nadpisvtabulce"/>
                <w:b w:val="0"/>
              </w:rPr>
            </w:pPr>
            <w:r w:rsidRPr="00621999">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Ing. Jaroslav Chaloupka</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Adresa</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sz w:val="18"/>
              </w:rPr>
              <w:t>Nerudova 1, 779 00 Olomouc</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E-mail</w:t>
            </w:r>
          </w:p>
        </w:tc>
        <w:tc>
          <w:tcPr>
            <w:tcW w:w="5812" w:type="dxa"/>
          </w:tcPr>
          <w:p w:rsidR="00ED29F1" w:rsidRPr="00621999" w:rsidRDefault="006C44A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621999" w:rsidRPr="00621999">
                <w:rPr>
                  <w:rStyle w:val="Hypertextovodkaz"/>
                  <w:rFonts w:ascii="Verdana" w:eastAsia="Times New Roman" w:hAnsi="Verdana" w:cs="Calibri"/>
                  <w:sz w:val="18"/>
                  <w:lang w:eastAsia="cs-CZ"/>
                </w:rPr>
                <w:t>ChaloupkaJ@szdc.cz</w:t>
              </w:r>
            </w:hyperlink>
            <w:r w:rsidR="00621999" w:rsidRPr="00621999">
              <w:rPr>
                <w:rFonts w:ascii="Verdana" w:eastAsia="Times New Roman" w:hAnsi="Verdana" w:cs="Calibri"/>
                <w:sz w:val="18"/>
                <w:lang w:eastAsia="cs-CZ"/>
              </w:rPr>
              <w:t xml:space="preserve">  </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Telefon</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05CA7"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05CA7" w:rsidRDefault="00ED29F1" w:rsidP="005A7872">
            <w:pPr>
              <w:pStyle w:val="Tabulka"/>
              <w:rPr>
                <w:rStyle w:val="Nadpisvtabulce"/>
                <w:b w:val="0"/>
              </w:rPr>
            </w:pPr>
            <w:r w:rsidRPr="00F05CA7">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05CA7" w:rsidRDefault="00F05CA7" w:rsidP="00E508A6">
            <w:pPr>
              <w:pStyle w:val="Tabulka"/>
              <w:cnfStyle w:val="100000000000" w:firstRow="1" w:lastRow="0" w:firstColumn="0" w:lastColumn="0" w:oddVBand="0" w:evenVBand="0" w:oddHBand="0" w:evenHBand="0" w:firstRowFirstColumn="0" w:firstRowLastColumn="0" w:lastRowFirstColumn="0" w:lastRowLastColumn="0"/>
              <w:rPr>
                <w:sz w:val="18"/>
              </w:rPr>
            </w:pPr>
            <w:r w:rsidRPr="00F05CA7">
              <w:rPr>
                <w:rFonts w:ascii="Verdana" w:eastAsia="Times New Roman" w:hAnsi="Verdana" w:cs="Calibri"/>
                <w:sz w:val="18"/>
                <w:lang w:eastAsia="cs-CZ"/>
              </w:rPr>
              <w:t xml:space="preserve">Ing. Pavel </w:t>
            </w:r>
            <w:proofErr w:type="spellStart"/>
            <w:r w:rsidRPr="00F05CA7">
              <w:rPr>
                <w:rFonts w:ascii="Verdana" w:eastAsia="Times New Roman" w:hAnsi="Verdana" w:cs="Calibri"/>
                <w:sz w:val="18"/>
                <w:lang w:eastAsia="cs-CZ"/>
              </w:rPr>
              <w:t>Sonnewend</w:t>
            </w:r>
            <w:proofErr w:type="spellEnd"/>
          </w:p>
        </w:tc>
      </w:tr>
      <w:tr w:rsidR="00ED29F1" w:rsidRPr="00F05CA7"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F05CA7" w:rsidRDefault="00ED29F1" w:rsidP="005A7872">
            <w:pPr>
              <w:pStyle w:val="Tabulka"/>
              <w:rPr>
                <w:sz w:val="18"/>
              </w:rPr>
            </w:pPr>
            <w:r w:rsidRPr="00F05CA7">
              <w:rPr>
                <w:sz w:val="18"/>
              </w:rPr>
              <w:t>Adresa</w:t>
            </w:r>
          </w:p>
        </w:tc>
        <w:tc>
          <w:tcPr>
            <w:tcW w:w="5812" w:type="dxa"/>
          </w:tcPr>
          <w:p w:rsidR="00ED29F1" w:rsidRPr="00F05CA7"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5CA7">
              <w:rPr>
                <w:sz w:val="18"/>
              </w:rPr>
              <w:t>Nerudova 1, 779 00 Olomouc</w:t>
            </w:r>
          </w:p>
        </w:tc>
      </w:tr>
      <w:tr w:rsidR="00ED29F1" w:rsidRPr="00F05CA7"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F05CA7" w:rsidRDefault="00ED29F1" w:rsidP="005A7872">
            <w:pPr>
              <w:pStyle w:val="Tabulka"/>
              <w:rPr>
                <w:sz w:val="18"/>
              </w:rPr>
            </w:pPr>
            <w:r w:rsidRPr="00F05CA7">
              <w:rPr>
                <w:sz w:val="18"/>
              </w:rPr>
              <w:t>E-mail</w:t>
            </w:r>
          </w:p>
        </w:tc>
        <w:tc>
          <w:tcPr>
            <w:tcW w:w="5812" w:type="dxa"/>
          </w:tcPr>
          <w:p w:rsidR="00ED29F1" w:rsidRPr="00F05CA7" w:rsidRDefault="006C44A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F05CA7" w:rsidRPr="00F05CA7">
                <w:rPr>
                  <w:rStyle w:val="Hypertextovodkaz"/>
                  <w:noProof w:val="0"/>
                  <w:sz w:val="18"/>
                </w:rPr>
                <w:t>Sonnewend@szdc.cz</w:t>
              </w:r>
            </w:hyperlink>
            <w:r w:rsidR="004D178B" w:rsidRPr="00F05CA7">
              <w:rPr>
                <w:sz w:val="18"/>
              </w:rPr>
              <w:t xml:space="preserve"> </w:t>
            </w:r>
          </w:p>
        </w:tc>
      </w:tr>
      <w:tr w:rsidR="00ED29F1" w:rsidRPr="00F05CA7"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F05CA7" w:rsidRDefault="00ED29F1" w:rsidP="005A7872">
            <w:pPr>
              <w:pStyle w:val="Tabulka"/>
              <w:rPr>
                <w:sz w:val="18"/>
              </w:rPr>
            </w:pPr>
            <w:r w:rsidRPr="00F05CA7">
              <w:rPr>
                <w:sz w:val="18"/>
              </w:rPr>
              <w:t>Telefon</w:t>
            </w:r>
          </w:p>
        </w:tc>
        <w:tc>
          <w:tcPr>
            <w:tcW w:w="5812" w:type="dxa"/>
          </w:tcPr>
          <w:p w:rsidR="00ED29F1" w:rsidRPr="00F05CA7" w:rsidRDefault="00F05C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5CA7">
              <w:rPr>
                <w:rFonts w:ascii="Verdana" w:eastAsia="Times New Roman" w:hAnsi="Verdana" w:cs="Calibri"/>
                <w:sz w:val="18"/>
                <w:lang w:eastAsia="cs-CZ"/>
              </w:rPr>
              <w:t>702 267 151</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6C44A3">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6C44A3">
              <w:rPr>
                <w:rFonts w:eastAsia="Times New Roman" w:cs="Calibri"/>
                <w:color w:val="000000"/>
                <w:sz w:val="18"/>
                <w:lang w:eastAsia="cs-CZ"/>
              </w:rPr>
              <w:t>3</w:t>
            </w:r>
            <w:bookmarkStart w:id="8" w:name="_GoBack"/>
            <w:bookmarkEnd w:id="8"/>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44A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44A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1221"/>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A3C1B"/>
    <w:rsid w:val="004C4399"/>
    <w:rsid w:val="004C787C"/>
    <w:rsid w:val="004D09FB"/>
    <w:rsid w:val="004D178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4A3"/>
    <w:rsid w:val="006C490F"/>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D4388"/>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C40"/>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6D68"/>
    <w:rsid w:val="00E44045"/>
    <w:rsid w:val="00E463D2"/>
    <w:rsid w:val="00E508A6"/>
    <w:rsid w:val="00E618C4"/>
    <w:rsid w:val="00E7415D"/>
    <w:rsid w:val="00E878EE"/>
    <w:rsid w:val="00E901A3"/>
    <w:rsid w:val="00E953EB"/>
    <w:rsid w:val="00EA585B"/>
    <w:rsid w:val="00EA6EC7"/>
    <w:rsid w:val="00EB104F"/>
    <w:rsid w:val="00EB46E5"/>
    <w:rsid w:val="00ED14BD"/>
    <w:rsid w:val="00ED29F1"/>
    <w:rsid w:val="00F016C7"/>
    <w:rsid w:val="00F05CA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Sonnewend@szdc.cz"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ChaloupkaJ@szdc.cz" TargetMode="Externa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3B51642-9714-4E21-8407-9FF0ADBD9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317</TotalTime>
  <Pages>18</Pages>
  <Words>3914</Words>
  <Characters>23094</Characters>
  <Application>Microsoft Office Word</Application>
  <DocSecurity>0</DocSecurity>
  <Lines>192</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30</cp:revision>
  <cp:lastPrinted>2019-09-27T11:09:00Z</cp:lastPrinted>
  <dcterms:created xsi:type="dcterms:W3CDTF">2019-03-19T08:45:00Z</dcterms:created>
  <dcterms:modified xsi:type="dcterms:W3CDTF">2020-05-28T06:33:00Z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