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44D60" w:rsidRPr="00721012">
        <w:rPr>
          <w:rFonts w:ascii="Verdana" w:hAnsi="Verdana"/>
          <w:b/>
          <w:sz w:val="18"/>
          <w:szCs w:val="18"/>
        </w:rPr>
        <w:t>„</w:t>
      </w:r>
      <w:r w:rsidR="0074476B" w:rsidRPr="0074476B">
        <w:rPr>
          <w:rFonts w:ascii="Verdana" w:hAnsi="Verdana"/>
          <w:b/>
          <w:sz w:val="18"/>
          <w:szCs w:val="18"/>
        </w:rPr>
        <w:t>Hoštejn TNS – oprava oplocení</w:t>
      </w:r>
      <w:bookmarkStart w:id="0" w:name="_GoBack"/>
      <w:bookmarkEnd w:id="0"/>
      <w:r w:rsidR="00044D60" w:rsidRPr="00721012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4476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4476B" w:rsidRPr="0074476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4D6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4476B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777B2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24A0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1557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66D0C8-02E1-434B-859C-4C282F17D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2020-05-22T09:14:00Z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