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215A9D" w:rsidP="0077673A">
            <w:r>
              <w:rPr>
                <w:noProof/>
                <w:lang w:eastAsia="cs-CZ"/>
              </w:rPr>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CB597A" w:rsidRDefault="00CB597A" w:rsidP="0037111D">
                        <w:pPr>
                          <w:pStyle w:val="Bezmezer"/>
                          <w:rPr>
                            <w:b/>
                          </w:rPr>
                        </w:pPr>
                        <w:r>
                          <w:rPr>
                            <w:b/>
                          </w:rPr>
                          <w:t>Uveřejněno na profilu zadavatele</w:t>
                        </w:r>
                      </w:p>
                    </w:txbxContent>
                  </v:textbox>
                  <w10:wrap anchorx="page" anchory="page"/>
                  <w10:anchorlock/>
                </v:shape>
              </w:pic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3E6B9A" w:rsidRDefault="00F862D6" w:rsidP="0077673A">
            <w:r w:rsidRPr="003E6B9A">
              <w:t>Naše zn.</w:t>
            </w:r>
          </w:p>
        </w:tc>
        <w:tc>
          <w:tcPr>
            <w:tcW w:w="2552" w:type="dxa"/>
          </w:tcPr>
          <w:p w:rsidR="00F862D6" w:rsidRPr="003E6B9A" w:rsidRDefault="00A854CD" w:rsidP="0037111D">
            <w:r w:rsidRPr="00A854CD">
              <w:rPr>
                <w:rFonts w:ascii="Helvetica" w:hAnsi="Helvetica"/>
              </w:rPr>
              <w:t>4114/2020-SŽ-SSV-Ú3</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Pr="00CA3AC2" w:rsidRDefault="00F862D6" w:rsidP="0077673A">
            <w:r w:rsidRPr="00CA3AC2">
              <w:t>Listů/příloh</w:t>
            </w:r>
          </w:p>
        </w:tc>
        <w:tc>
          <w:tcPr>
            <w:tcW w:w="2552" w:type="dxa"/>
          </w:tcPr>
          <w:p w:rsidR="00F862D6" w:rsidRPr="00CA3AC2" w:rsidRDefault="005008B6" w:rsidP="00273528">
            <w:r w:rsidRPr="005008B6">
              <w:t>3</w:t>
            </w:r>
            <w:r w:rsidR="003E6B9A" w:rsidRPr="005008B6">
              <w:t>/</w:t>
            </w:r>
            <w:r w:rsidR="00273528" w:rsidRPr="005008B6">
              <w:t>0</w:t>
            </w:r>
          </w:p>
        </w:tc>
        <w:tc>
          <w:tcPr>
            <w:tcW w:w="823" w:type="dxa"/>
          </w:tcPr>
          <w:p w:rsidR="00F862D6" w:rsidRDefault="00F862D6" w:rsidP="0077673A"/>
        </w:tc>
        <w:tc>
          <w:tcPr>
            <w:tcW w:w="3685" w:type="dxa"/>
            <w:vMerge/>
          </w:tcPr>
          <w:p w:rsidR="00F862D6" w:rsidRDefault="00F862D6" w:rsidP="0077673A">
            <w:pPr>
              <w:rPr>
                <w:noProof/>
              </w:rPr>
            </w:pPr>
          </w:p>
        </w:tc>
      </w:tr>
      <w:tr w:rsidR="00F862D6" w:rsidTr="00B23CA3">
        <w:trPr>
          <w:trHeight w:val="77"/>
        </w:trPr>
        <w:tc>
          <w:tcPr>
            <w:tcW w:w="1020" w:type="dxa"/>
          </w:tcPr>
          <w:p w:rsidR="00F862D6" w:rsidRDefault="00F862D6" w:rsidP="0077673A"/>
        </w:tc>
        <w:tc>
          <w:tcPr>
            <w:tcW w:w="2552" w:type="dxa"/>
          </w:tcPr>
          <w:p w:rsidR="00F862D6" w:rsidRPr="003E6B9A"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Vyřizuje</w:t>
            </w:r>
          </w:p>
        </w:tc>
        <w:tc>
          <w:tcPr>
            <w:tcW w:w="2552" w:type="dxa"/>
          </w:tcPr>
          <w:p w:rsidR="00F862D6" w:rsidRPr="003E6B9A" w:rsidRDefault="00CB596B" w:rsidP="00FE3455">
            <w:r>
              <w:t>Renáta Majerová</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Mobil</w:t>
            </w:r>
          </w:p>
        </w:tc>
        <w:tc>
          <w:tcPr>
            <w:tcW w:w="2552" w:type="dxa"/>
          </w:tcPr>
          <w:p w:rsidR="009A7568" w:rsidRPr="003E6B9A" w:rsidRDefault="00CB596B" w:rsidP="009A7568">
            <w:r>
              <w:t>+420 724 932 325</w:t>
            </w:r>
          </w:p>
        </w:tc>
        <w:tc>
          <w:tcPr>
            <w:tcW w:w="823" w:type="dxa"/>
          </w:tcPr>
          <w:p w:rsidR="009A7568" w:rsidRDefault="009A7568" w:rsidP="009A7568"/>
        </w:tc>
        <w:tc>
          <w:tcPr>
            <w:tcW w:w="3685" w:type="dxa"/>
            <w:vMerge/>
          </w:tcPr>
          <w:p w:rsidR="009A7568" w:rsidRDefault="009A7568" w:rsidP="009A7568"/>
        </w:tc>
      </w:tr>
      <w:tr w:rsidR="009A7568" w:rsidTr="00DA7B54">
        <w:trPr>
          <w:trHeight w:val="200"/>
        </w:trPr>
        <w:tc>
          <w:tcPr>
            <w:tcW w:w="1020" w:type="dxa"/>
          </w:tcPr>
          <w:p w:rsidR="009A7568" w:rsidRDefault="009A7568" w:rsidP="009A7568">
            <w:r>
              <w:t>E-mail</w:t>
            </w:r>
          </w:p>
        </w:tc>
        <w:tc>
          <w:tcPr>
            <w:tcW w:w="2552" w:type="dxa"/>
          </w:tcPr>
          <w:p w:rsidR="009A7568" w:rsidRPr="003E6B9A" w:rsidRDefault="00CB596B" w:rsidP="006104F6">
            <w:r>
              <w:t>Majerova@szdc.cz</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Default="009A7568" w:rsidP="009A7568">
            <w:r>
              <w:t>Datum</w:t>
            </w:r>
          </w:p>
        </w:tc>
        <w:bookmarkStart w:id="0" w:name="Datum"/>
        <w:tc>
          <w:tcPr>
            <w:tcW w:w="2552" w:type="dxa"/>
          </w:tcPr>
          <w:p w:rsidR="009A7568" w:rsidRPr="003E6B9A" w:rsidRDefault="000A4628" w:rsidP="00A854CD">
            <w:r w:rsidRPr="00814739">
              <w:fldChar w:fldCharType="begin"/>
            </w:r>
            <w:r w:rsidR="009A7568" w:rsidRPr="00814739">
              <w:instrText xml:space="preserve"> DATE  \@ "d. MMMM yyyy"  \* MERGEFORMAT </w:instrText>
            </w:r>
            <w:r w:rsidRPr="00814739">
              <w:fldChar w:fldCharType="separate"/>
            </w:r>
            <w:r w:rsidR="00D636A0">
              <w:rPr>
                <w:noProof/>
              </w:rPr>
              <w:t>19. května 2020</w:t>
            </w:r>
            <w:r w:rsidRPr="00814739">
              <w:fldChar w:fldCharType="end"/>
            </w:r>
            <w:r w:rsidR="009A7568" w:rsidRPr="003E6B9A">
              <w:t xml:space="preserve"> </w:t>
            </w:r>
            <w:bookmarkEnd w:id="0"/>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CB596B" w:rsidRPr="00CB596B">
        <w:rPr>
          <w:rFonts w:eastAsia="Calibri" w:cs="Times New Roman"/>
          <w:b/>
          <w:lang w:eastAsia="cs-CZ"/>
        </w:rPr>
        <w:t>Výstavba TNS Stéblová</w:t>
      </w:r>
    </w:p>
    <w:p w:rsidR="00CB7B5A" w:rsidRPr="00BD5319" w:rsidRDefault="00CB7B5A" w:rsidP="00CB7B5A">
      <w:pPr>
        <w:spacing w:after="0" w:line="240" w:lineRule="auto"/>
        <w:rPr>
          <w:rFonts w:eastAsia="Calibri" w:cs="Times New Roman"/>
          <w:b/>
          <w:bCs/>
          <w:lang w:eastAsia="cs-CZ"/>
        </w:rPr>
      </w:pPr>
      <w:r w:rsidRPr="00CB596B">
        <w:rPr>
          <w:rFonts w:eastAsia="Calibri" w:cs="Times New Roman"/>
          <w:lang w:eastAsia="cs-CZ"/>
        </w:rPr>
        <w:t xml:space="preserve">Vysvětlení/ změna/ doplnění zadávací </w:t>
      </w:r>
      <w:r w:rsidRPr="00CB7B5A">
        <w:rPr>
          <w:rFonts w:eastAsia="Calibri" w:cs="Times New Roman"/>
          <w:lang w:eastAsia="cs-CZ"/>
        </w:rPr>
        <w:t xml:space="preserve">dokumentace č. </w:t>
      </w:r>
      <w:r w:rsidR="00A854CD">
        <w:rPr>
          <w:rFonts w:eastAsia="Calibri" w:cs="Times New Roman"/>
          <w:lang w:eastAsia="cs-CZ"/>
        </w:rPr>
        <w:t>4</w:t>
      </w:r>
      <w:r w:rsidR="000A4628" w:rsidRPr="00CB7B5A">
        <w:rPr>
          <w:rFonts w:eastAsia="Times New Roman" w:cs="Times New Roman"/>
          <w:lang w:eastAsia="cs-CZ"/>
        </w:rPr>
        <w:fldChar w:fldCharType="begin">
          <w:ffData>
            <w:name w:val="Text1"/>
            <w:enabled/>
            <w:calcOnExit w:val="0"/>
            <w:textInput>
              <w:type w:val="date"/>
              <w:format w:val="d.M.yyyy"/>
            </w:textInput>
          </w:ffData>
        </w:fldChar>
      </w:r>
      <w:r w:rsidRPr="00CB7B5A">
        <w:rPr>
          <w:rFonts w:eastAsia="Times New Roman" w:cs="Times New Roman"/>
          <w:lang w:eastAsia="cs-CZ"/>
        </w:rPr>
        <w:instrText xml:space="preserve"> FORMTEXT </w:instrText>
      </w:r>
      <w:r w:rsidR="000A4628" w:rsidRPr="00CB7B5A">
        <w:rPr>
          <w:rFonts w:eastAsia="Times New Roman" w:cs="Times New Roman"/>
          <w:lang w:eastAsia="cs-CZ"/>
        </w:rPr>
      </w:r>
      <w:r w:rsidR="000A4628" w:rsidRPr="00CB7B5A">
        <w:rPr>
          <w:rFonts w:eastAsia="Times New Roman" w:cs="Times New Roman"/>
          <w:lang w:eastAsia="cs-CZ"/>
        </w:rPr>
        <w:fldChar w:fldCharType="separate"/>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000A4628" w:rsidRPr="00CB7B5A">
        <w:rPr>
          <w:rFonts w:eastAsia="Times New Roman" w:cs="Times New Roman"/>
          <w:lang w:eastAsia="cs-CZ"/>
        </w:rPr>
        <w:fldChar w:fldCharType="end"/>
      </w:r>
      <w:r w:rsidRPr="00CB7B5A">
        <w:rPr>
          <w:rFonts w:eastAsia="Calibri" w:cs="Times New Roman"/>
          <w:lang w:eastAsia="cs-CZ"/>
        </w:rPr>
        <w:t xml:space="preserve"> </w:t>
      </w:r>
    </w:p>
    <w:p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rsidR="00BD5319" w:rsidRDefault="00BD5319" w:rsidP="00BD5319">
      <w:pPr>
        <w:spacing w:after="0" w:line="240" w:lineRule="auto"/>
        <w:ind w:left="709"/>
        <w:rPr>
          <w:rFonts w:eastAsia="Calibri" w:cs="Times New Roman"/>
          <w:color w:val="FF0000"/>
          <w:lang w:eastAsia="cs-CZ"/>
        </w:rPr>
      </w:pPr>
    </w:p>
    <w:p w:rsidR="00BD5319" w:rsidRDefault="00BD5319" w:rsidP="00BD5319">
      <w:pPr>
        <w:spacing w:after="0" w:line="240" w:lineRule="auto"/>
        <w:jc w:val="both"/>
        <w:rPr>
          <w:rFonts w:eastAsia="Times New Roman" w:cs="Times New Roman"/>
          <w:color w:val="FF0000"/>
          <w:lang w:eastAsia="cs-CZ"/>
        </w:rPr>
      </w:pPr>
    </w:p>
    <w:p w:rsidR="00A854CD" w:rsidRDefault="00A854CD" w:rsidP="00BD5319">
      <w:pPr>
        <w:spacing w:after="0" w:line="240" w:lineRule="auto"/>
        <w:jc w:val="both"/>
        <w:rPr>
          <w:rFonts w:eastAsia="Times New Roman" w:cs="Times New Roman"/>
          <w:color w:val="FF0000"/>
          <w:lang w:eastAsia="cs-CZ"/>
        </w:rPr>
      </w:pPr>
    </w:p>
    <w:p w:rsidR="00A854CD" w:rsidRDefault="00A854CD" w:rsidP="00BD5319">
      <w:pPr>
        <w:spacing w:after="0" w:line="240" w:lineRule="auto"/>
        <w:jc w:val="both"/>
        <w:rPr>
          <w:rFonts w:eastAsia="Times New Roman" w:cs="Times New Roman"/>
          <w:color w:val="FF0000"/>
          <w:lang w:eastAsia="cs-CZ"/>
        </w:rPr>
      </w:pPr>
    </w:p>
    <w:p w:rsidR="005F195E" w:rsidRDefault="005F195E" w:rsidP="005F195E">
      <w:pPr>
        <w:spacing w:after="0" w:line="240" w:lineRule="auto"/>
        <w:rPr>
          <w:rFonts w:eastAsia="Calibri" w:cs="Times New Roman"/>
          <w:b/>
          <w:lang w:eastAsia="cs-CZ"/>
        </w:rPr>
      </w:pPr>
      <w:r>
        <w:rPr>
          <w:rFonts w:eastAsia="Calibri" w:cs="Times New Roman"/>
          <w:b/>
          <w:lang w:eastAsia="cs-CZ"/>
        </w:rPr>
        <w:t>Dotaz č. 8:</w:t>
      </w:r>
    </w:p>
    <w:p w:rsidR="005F195E" w:rsidRDefault="005F195E" w:rsidP="005F195E">
      <w:pPr>
        <w:spacing w:after="0"/>
        <w:jc w:val="both"/>
        <w:rPr>
          <w:rFonts w:ascii="Arial" w:eastAsia="Times New Roman" w:hAnsi="Arial" w:cs="Arial"/>
        </w:rPr>
      </w:pPr>
    </w:p>
    <w:p w:rsidR="00A854CD" w:rsidRDefault="00A854CD" w:rsidP="005F195E">
      <w:pPr>
        <w:spacing w:after="120" w:line="240" w:lineRule="auto"/>
        <w:jc w:val="both"/>
        <w:rPr>
          <w:rFonts w:ascii="Arial" w:eastAsia="Times New Roman" w:hAnsi="Arial" w:cs="Arial"/>
          <w:b/>
        </w:rPr>
      </w:pPr>
    </w:p>
    <w:p w:rsidR="005F195E" w:rsidRDefault="005F195E" w:rsidP="005F195E">
      <w:pPr>
        <w:spacing w:after="120" w:line="240" w:lineRule="auto"/>
        <w:jc w:val="both"/>
        <w:rPr>
          <w:rFonts w:ascii="Arial" w:eastAsia="Times New Roman" w:hAnsi="Arial" w:cs="Arial"/>
          <w:b/>
        </w:rPr>
      </w:pPr>
      <w:r>
        <w:rPr>
          <w:rFonts w:ascii="Arial" w:eastAsia="Times New Roman" w:hAnsi="Arial" w:cs="Arial"/>
          <w:b/>
        </w:rPr>
        <w:t>Žádost o vysvětlení zadávací dokumentace na Veřejnou zakázku „Výstavba TNS Stéblová“.</w:t>
      </w:r>
    </w:p>
    <w:p w:rsidR="005F195E" w:rsidRDefault="005F195E" w:rsidP="005F195E">
      <w:pPr>
        <w:autoSpaceDE w:val="0"/>
        <w:autoSpaceDN w:val="0"/>
        <w:adjustRightInd w:val="0"/>
        <w:jc w:val="both"/>
        <w:rPr>
          <w:rFonts w:ascii="Arial" w:eastAsia="Calibri" w:hAnsi="Arial" w:cs="Arial"/>
          <w:sz w:val="30"/>
          <w:szCs w:val="30"/>
        </w:rPr>
      </w:pPr>
      <w:r>
        <w:rPr>
          <w:rFonts w:ascii="Arial" w:hAnsi="Arial" w:cs="Arial"/>
        </w:rPr>
        <w:t xml:space="preserve">Zadavatel Správa železnic, státní organizace, se sídlem Dlážděná 1003/7, Praha 1, Nové Město, PSČ 110 00, IČO: 70994234 (dále jen </w:t>
      </w:r>
      <w:r>
        <w:rPr>
          <w:rFonts w:ascii="Arial" w:hAnsi="Arial" w:cs="Arial"/>
          <w:b/>
          <w:bCs/>
          <w:i/>
          <w:iCs/>
        </w:rPr>
        <w:t>„</w:t>
      </w:r>
      <w:r>
        <w:rPr>
          <w:rFonts w:ascii="Arial" w:hAnsi="Arial" w:cs="Arial"/>
          <w:b/>
          <w:bCs/>
        </w:rPr>
        <w:t>zadavatel</w:t>
      </w:r>
      <w:r>
        <w:rPr>
          <w:rFonts w:ascii="Arial" w:hAnsi="Arial" w:cs="Arial"/>
          <w:b/>
          <w:bCs/>
          <w:i/>
          <w:iCs/>
        </w:rPr>
        <w:t>“</w:t>
      </w:r>
      <w:r>
        <w:rPr>
          <w:rFonts w:ascii="Arial" w:hAnsi="Arial" w:cs="Arial"/>
        </w:rPr>
        <w:t xml:space="preserve">) zahájil dne 23. 4. 2020 odesláním Oznámení o zahájení zadávacího řízení k uveřejnění do Věstníku veřejných zakázek zadávací řízení na zadání veřejné zakázky s názvem </w:t>
      </w:r>
      <w:r>
        <w:rPr>
          <w:rFonts w:ascii="Arial" w:hAnsi="Arial" w:cs="Arial"/>
          <w:i/>
          <w:iCs/>
        </w:rPr>
        <w:t>„Výstavba TNS Stéblová“</w:t>
      </w:r>
      <w:r>
        <w:rPr>
          <w:rFonts w:ascii="Arial" w:hAnsi="Arial" w:cs="Arial"/>
        </w:rPr>
        <w:t xml:space="preserve"> (dále jen </w:t>
      </w:r>
      <w:r>
        <w:rPr>
          <w:rFonts w:ascii="Arial" w:hAnsi="Arial" w:cs="Arial"/>
          <w:b/>
          <w:bCs/>
        </w:rPr>
        <w:t>„zadávací řízení“</w:t>
      </w:r>
      <w:r>
        <w:rPr>
          <w:rFonts w:ascii="Arial" w:hAnsi="Arial" w:cs="Arial"/>
        </w:rPr>
        <w:t xml:space="preserve"> a </w:t>
      </w:r>
      <w:r>
        <w:rPr>
          <w:rFonts w:ascii="Arial" w:hAnsi="Arial" w:cs="Arial"/>
          <w:b/>
          <w:bCs/>
        </w:rPr>
        <w:t>„veřejná zakázka“</w:t>
      </w:r>
      <w:r>
        <w:rPr>
          <w:rFonts w:ascii="Arial" w:hAnsi="Arial" w:cs="Arial"/>
        </w:rPr>
        <w:t>).</w:t>
      </w:r>
    </w:p>
    <w:p w:rsidR="005F195E" w:rsidRDefault="005F195E" w:rsidP="005F195E">
      <w:pPr>
        <w:jc w:val="both"/>
        <w:rPr>
          <w:rFonts w:ascii="Arial" w:hAnsi="Arial" w:cs="Arial"/>
          <w:sz w:val="22"/>
          <w:szCs w:val="22"/>
        </w:rPr>
      </w:pPr>
      <w:r>
        <w:rPr>
          <w:rFonts w:ascii="Arial" w:hAnsi="Arial" w:cs="Arial"/>
        </w:rPr>
        <w:t xml:space="preserve">Dodavatel tímto ve lhůtě dle § 98 odst. 3 zákona č. 134/2016 Sb., o zadávání veřejných zakázek, ve znění pozdějších předpisů (dále jen </w:t>
      </w:r>
      <w:r>
        <w:rPr>
          <w:rFonts w:ascii="Arial" w:hAnsi="Arial" w:cs="Arial"/>
          <w:b/>
          <w:bCs/>
        </w:rPr>
        <w:t>„ZZVZ</w:t>
      </w:r>
      <w:r>
        <w:rPr>
          <w:rFonts w:ascii="Arial" w:hAnsi="Arial" w:cs="Arial"/>
          <w:b/>
          <w:bCs/>
          <w:i/>
          <w:iCs/>
        </w:rPr>
        <w:t>“</w:t>
      </w:r>
      <w:r>
        <w:rPr>
          <w:rFonts w:ascii="Arial" w:hAnsi="Arial" w:cs="Arial"/>
        </w:rPr>
        <w:t>)</w:t>
      </w:r>
      <w:r>
        <w:rPr>
          <w:rFonts w:ascii="Arial" w:hAnsi="Arial" w:cs="Arial"/>
          <w:b/>
          <w:bCs/>
          <w:i/>
          <w:iCs/>
        </w:rPr>
        <w:t xml:space="preserve"> </w:t>
      </w:r>
      <w:r>
        <w:rPr>
          <w:rFonts w:ascii="Arial" w:hAnsi="Arial" w:cs="Arial"/>
        </w:rPr>
        <w:t>žádá</w:t>
      </w:r>
      <w:r>
        <w:rPr>
          <w:rFonts w:ascii="Arial" w:hAnsi="Arial" w:cs="Arial"/>
          <w:b/>
          <w:bCs/>
          <w:i/>
          <w:iCs/>
        </w:rPr>
        <w:t xml:space="preserve"> </w:t>
      </w:r>
      <w:r>
        <w:rPr>
          <w:rFonts w:ascii="Arial" w:hAnsi="Arial" w:cs="Arial"/>
        </w:rPr>
        <w:t>zadavatele o vysvětlení zadávací dokumentace veřejné zakázky.</w:t>
      </w:r>
    </w:p>
    <w:p w:rsidR="005F195E" w:rsidRDefault="005F195E" w:rsidP="005F195E">
      <w:pPr>
        <w:pStyle w:val="Odstavecseseznamem"/>
        <w:spacing w:line="276" w:lineRule="auto"/>
        <w:ind w:left="0"/>
        <w:jc w:val="both"/>
        <w:rPr>
          <w:rFonts w:ascii="Arial" w:hAnsi="Arial" w:cs="Arial"/>
          <w:sz w:val="22"/>
          <w:szCs w:val="22"/>
        </w:rPr>
      </w:pPr>
      <w:r>
        <w:rPr>
          <w:rFonts w:ascii="Arial" w:hAnsi="Arial" w:cs="Arial"/>
          <w:sz w:val="22"/>
          <w:szCs w:val="22"/>
        </w:rPr>
        <w:t>Zadavatel v čl. 8.5 ZD uvedl, že z předloženého seznamu stavebních prací poskytnutých dodavatelem na stavbách železničních drah musí mj. vyplývat, že dodavatel v posledních 5 letech před zahájením zadávacího řízení řádně poskytl a dokončil nejméně jednu nejvýznamnější stavební práci, která musela zahrnovat novostavbu nebo rekonstrukci stejnosměrné trakční napájecí stanice železničních drah v hodnotě nejméně 120 000 000,- Kč bez DPH (uvedená částka se vztahuje k hodnotě novostavby nebo rekonstrukce stejnosměrné trakční napájecí stanice, nikoli k hodnotě nejvýznamnější stavební práce, tj. zakázky jako celku).</w:t>
      </w:r>
    </w:p>
    <w:p w:rsidR="005F195E" w:rsidRDefault="005F195E" w:rsidP="005F195E">
      <w:pPr>
        <w:spacing w:before="240"/>
        <w:jc w:val="both"/>
        <w:rPr>
          <w:rFonts w:ascii="Arial" w:hAnsi="Arial" w:cs="Arial"/>
        </w:rPr>
      </w:pPr>
      <w:r>
        <w:rPr>
          <w:rFonts w:ascii="Arial" w:hAnsi="Arial" w:cs="Arial"/>
          <w:b/>
          <w:bCs/>
        </w:rPr>
        <w:t>Z jakého důvodu, vyplývajícího z povahy předmětu veřejné zakázky, požaduje zadavatel v rámci nejvýznamnější stavební práce doložení zkušenosti právě v hodnotě minimálně 120 milionů Kč bez DPH? Z jakého důvodu není pro zadavatele dostačující zkušenost s realizací stavební práce na stavbách železničních drah například v hodnotě 100 milionů Kč bez DPH? Tazatel je přesvědčen, že pokud dodavatel má zkušenosti se stavbami železničních drah například v hodnotě 100 milionů Kč bez DPH, které spočívaly v realizaci stejnosměrné trakční napájecí stanice např. pomocí kontejnerové technologie, je pro plnění veřejné zakázky kvalifikován stejně jako dodavatel, který má zkušenost s novostavbou nebo rekonstrukcí stejnosměrné trakční napájecí stanice železničních drah ve stejné hodnotě pomocí klasické stavební technologie.</w:t>
      </w:r>
      <w:r>
        <w:rPr>
          <w:rFonts w:ascii="Arial" w:hAnsi="Arial" w:cs="Arial"/>
        </w:rPr>
        <w:t xml:space="preserve"> </w:t>
      </w:r>
    </w:p>
    <w:p w:rsidR="00A854CD" w:rsidRDefault="00A854CD" w:rsidP="005F195E">
      <w:pPr>
        <w:spacing w:before="240"/>
        <w:jc w:val="both"/>
        <w:rPr>
          <w:rFonts w:ascii="Arial" w:hAnsi="Arial" w:cs="Arial"/>
          <w:b/>
          <w:bCs/>
          <w:sz w:val="22"/>
          <w:szCs w:val="22"/>
        </w:rPr>
      </w:pPr>
    </w:p>
    <w:p w:rsidR="005F195E" w:rsidRDefault="005F195E" w:rsidP="005F195E">
      <w:pPr>
        <w:spacing w:before="240"/>
        <w:jc w:val="both"/>
        <w:rPr>
          <w:rFonts w:ascii="Arial" w:hAnsi="Arial" w:cs="Arial"/>
        </w:rPr>
      </w:pPr>
      <w:r>
        <w:rPr>
          <w:rFonts w:ascii="Arial" w:hAnsi="Arial" w:cs="Arial"/>
        </w:rPr>
        <w:lastRenderedPageBreak/>
        <w:t>Tazatel má za to, že takto stanovené kritérium technické kvalifikace nedůvodně vylučuje z účasti v zadávacím řízení takové dodavatele, kteří by byli schopni veřejnou zakázku realizovat, tj. jsou dostatečně zkušení, když realizovali rozsáhlý počet trafostanic například v hodnotě 100 milionu Kč bez DPH, a to v podobě kontejnerů, nikoli však klasických budov.</w:t>
      </w:r>
    </w:p>
    <w:p w:rsidR="005F195E" w:rsidRDefault="005F195E" w:rsidP="005F195E">
      <w:pPr>
        <w:jc w:val="both"/>
        <w:rPr>
          <w:rFonts w:ascii="Arial" w:hAnsi="Arial" w:cs="Arial"/>
          <w:u w:val="single"/>
        </w:rPr>
      </w:pPr>
      <w:r>
        <w:rPr>
          <w:rFonts w:ascii="Arial" w:hAnsi="Arial" w:cs="Arial"/>
          <w:u w:val="single"/>
        </w:rPr>
        <w:t xml:space="preserve">Tazatel v této souvislosti odkazuje na relevantní rozhodovací praxi Úřadu pro ochranu hospodářské soutěže (dále jen </w:t>
      </w:r>
      <w:r>
        <w:rPr>
          <w:rFonts w:ascii="Arial" w:hAnsi="Arial" w:cs="Arial"/>
          <w:b/>
          <w:bCs/>
          <w:i/>
          <w:iCs/>
          <w:u w:val="single"/>
        </w:rPr>
        <w:t>„</w:t>
      </w:r>
      <w:r>
        <w:rPr>
          <w:rFonts w:ascii="Arial" w:hAnsi="Arial" w:cs="Arial"/>
          <w:b/>
          <w:bCs/>
          <w:u w:val="single"/>
        </w:rPr>
        <w:t>Úřad</w:t>
      </w:r>
      <w:r>
        <w:rPr>
          <w:rFonts w:ascii="Arial" w:hAnsi="Arial" w:cs="Arial"/>
          <w:b/>
          <w:bCs/>
          <w:i/>
          <w:iCs/>
          <w:u w:val="single"/>
        </w:rPr>
        <w:t>“</w:t>
      </w:r>
      <w:r>
        <w:rPr>
          <w:rFonts w:ascii="Arial" w:hAnsi="Arial" w:cs="Arial"/>
          <w:u w:val="single"/>
        </w:rPr>
        <w:t>), z níž vyplývá, že čím striktnější a přísnější zadávací podmínky jsou, tím detailněji je zadavatel musí zdůvodnit, a to zejména s ohledem na to, že jejich nastavením je do značné míry omezena hospodářská soutěž. Obecně lze presumovat, že čím striktnější zadávací podmínky jsou, tím více dojde k omezení hospodářské soutěže. Platí tedy, že pokud existuje pouze úzký okruh dodavatelů, který je schopen splnit zadávací podmínky, je potřeba přistoupit k detailnějšímu přezkumu zdůvodnění těchto zadávacích podmínek (technických požadavků).</w:t>
      </w:r>
      <w:r>
        <w:rPr>
          <w:rStyle w:val="Znakapoznpodarou"/>
          <w:rFonts w:ascii="Arial" w:hAnsi="Arial" w:cs="Arial"/>
          <w:u w:val="single"/>
        </w:rPr>
        <w:footnoteReference w:id="1"/>
      </w:r>
    </w:p>
    <w:p w:rsidR="005F195E" w:rsidRDefault="005F195E" w:rsidP="005F195E">
      <w:pPr>
        <w:spacing w:before="240"/>
        <w:jc w:val="both"/>
        <w:rPr>
          <w:rFonts w:ascii="Arial" w:hAnsi="Arial" w:cs="Arial"/>
        </w:rPr>
      </w:pPr>
      <w:r>
        <w:rPr>
          <w:rFonts w:ascii="Arial" w:hAnsi="Arial" w:cs="Arial"/>
        </w:rPr>
        <w:t>Zadavatel je bezesporu oprávněn stanovit zadávací podmínky veřejné zakázky v souladu se svými potřebami, nicméně tyto zadávací podmínky a omezení z nich vyplývající musí být důvodné, tedy založené na konkrétní zdůvodnitelné potřebě zadavatele spojené s plněním předmětu veřejné zakázky</w:t>
      </w:r>
      <w:r>
        <w:rPr>
          <w:rStyle w:val="Znakapoznpodarou"/>
          <w:rFonts w:ascii="Arial" w:hAnsi="Arial" w:cs="Arial"/>
        </w:rPr>
        <w:footnoteReference w:id="2"/>
      </w:r>
      <w:r>
        <w:rPr>
          <w:rFonts w:ascii="Arial" w:hAnsi="Arial" w:cs="Arial"/>
        </w:rPr>
        <w:t>. Tato podmínka však v daném případě není splněna.</w:t>
      </w:r>
    </w:p>
    <w:p w:rsidR="005F195E" w:rsidRDefault="005F195E" w:rsidP="005F195E">
      <w:pPr>
        <w:spacing w:before="240"/>
        <w:jc w:val="both"/>
        <w:rPr>
          <w:rFonts w:ascii="Arial" w:hAnsi="Arial" w:cs="Arial"/>
          <w:u w:val="single"/>
        </w:rPr>
      </w:pPr>
      <w:r>
        <w:rPr>
          <w:rFonts w:ascii="Arial" w:hAnsi="Arial" w:cs="Arial"/>
          <w:u w:val="single"/>
        </w:rPr>
        <w:t>Pakliže zadavatel požaduje zkušenosti vymezené konkrétní stavební technologií, aniž by umožnil prokázání zkušeností dodavatelů obdobnou technologií, která o schopnosti a kvalifikaci dodavatelů vypovídá stejně, jedná v rozporu se zásadami zadávání veřejných zakázek, především se zásadou přiměřenosti a zákazu diskriminace dle § 6 ZZVZ.</w:t>
      </w:r>
    </w:p>
    <w:p w:rsidR="005F195E" w:rsidRDefault="005F195E" w:rsidP="005F195E">
      <w:pPr>
        <w:spacing w:before="240"/>
        <w:jc w:val="both"/>
        <w:rPr>
          <w:rFonts w:ascii="Arial" w:hAnsi="Arial" w:cs="Arial"/>
          <w:b/>
          <w:bCs/>
        </w:rPr>
      </w:pPr>
      <w:r>
        <w:rPr>
          <w:rFonts w:ascii="Arial" w:hAnsi="Arial" w:cs="Arial"/>
          <w:b/>
          <w:bCs/>
        </w:rPr>
        <w:t xml:space="preserve">Zváží zadavatel s ohledem na zásadu přiměřenosti a zákazu diskriminace ve smyslu § 6 odst. 1 a 2 ZZVZ ve spojení s 36 odst. 1 a § 73 odst. 6 ZZVZ úpravu předmětného požadavku na nejvýznamnější stavební práce tak, že bude nově požadovat nejméně jednu nejvýznamnější stavební práci zahrnující novostavbu nebo rekonstrukci stejnosměrné trakční napájecí stanice železničních drah anebo dodávku kontejnerové stejnosměrné trakční napájecí stanice železničních drah například v hodnotě 100 000 000,- Kč bez DPH? </w:t>
      </w:r>
    </w:p>
    <w:p w:rsidR="005F195E" w:rsidRDefault="005F195E" w:rsidP="005F195E">
      <w:pPr>
        <w:spacing w:before="240"/>
        <w:jc w:val="both"/>
        <w:rPr>
          <w:rFonts w:ascii="Arial" w:hAnsi="Arial" w:cs="Arial"/>
          <w:b/>
          <w:bCs/>
        </w:rPr>
      </w:pPr>
      <w:r>
        <w:rPr>
          <w:rFonts w:ascii="Arial" w:hAnsi="Arial" w:cs="Arial"/>
          <w:b/>
          <w:bCs/>
        </w:rPr>
        <w:t>Tazatel současně žádá, aby zadavatel při vyřízení této žádosti postupoval v souladu s § 99 odst. 2 ZZVZ a v případě takové změny nebo doplnění zadávací dokumentace, která může rozšířit okruh možných účastníků zadávacího řízení (takovou změnou je nepochybně i změna požadavku na minimální úroveň technických kvalifikačních předpokladů), aby prodloužil lhůtu pro podání nabídek tak, aby tato od odeslání změny nebo doplnění zadávací dokumentace činila nejméně celou svou původní délku.</w:t>
      </w:r>
    </w:p>
    <w:p w:rsidR="00B652D1" w:rsidRDefault="00B652D1" w:rsidP="00CA3AC2">
      <w:pPr>
        <w:spacing w:after="0" w:line="240" w:lineRule="auto"/>
        <w:rPr>
          <w:rFonts w:eastAsia="Times New Roman" w:cs="Times New Roman"/>
          <w:lang w:eastAsia="cs-CZ"/>
        </w:rPr>
      </w:pPr>
    </w:p>
    <w:p w:rsidR="005F195E" w:rsidRDefault="005F195E" w:rsidP="00CA3AC2">
      <w:pPr>
        <w:spacing w:after="0" w:line="240" w:lineRule="auto"/>
        <w:rPr>
          <w:rFonts w:eastAsia="Times New Roman" w:cs="Times New Roman"/>
          <w:lang w:eastAsia="cs-CZ"/>
        </w:rPr>
      </w:pPr>
    </w:p>
    <w:p w:rsidR="00A854CD" w:rsidRDefault="00A854CD" w:rsidP="005F195E">
      <w:pPr>
        <w:spacing w:after="0" w:line="240" w:lineRule="auto"/>
        <w:rPr>
          <w:rFonts w:eastAsia="Calibri" w:cs="Times New Roman"/>
          <w:b/>
          <w:lang w:eastAsia="cs-CZ"/>
        </w:rPr>
      </w:pPr>
    </w:p>
    <w:p w:rsidR="00A854CD" w:rsidRDefault="00A854CD" w:rsidP="005F195E">
      <w:pPr>
        <w:spacing w:after="0" w:line="240" w:lineRule="auto"/>
        <w:rPr>
          <w:rFonts w:eastAsia="Calibri" w:cs="Times New Roman"/>
          <w:b/>
          <w:lang w:eastAsia="cs-CZ"/>
        </w:rPr>
      </w:pPr>
    </w:p>
    <w:p w:rsidR="00A854CD" w:rsidRDefault="00A854CD" w:rsidP="005F195E">
      <w:pPr>
        <w:spacing w:after="0" w:line="240" w:lineRule="auto"/>
        <w:rPr>
          <w:rFonts w:eastAsia="Calibri" w:cs="Times New Roman"/>
          <w:b/>
          <w:lang w:eastAsia="cs-CZ"/>
        </w:rPr>
      </w:pPr>
    </w:p>
    <w:p w:rsidR="00A854CD" w:rsidRDefault="00A854CD" w:rsidP="005F195E">
      <w:pPr>
        <w:spacing w:after="0" w:line="240" w:lineRule="auto"/>
        <w:rPr>
          <w:rFonts w:eastAsia="Calibri" w:cs="Times New Roman"/>
          <w:b/>
          <w:lang w:eastAsia="cs-CZ"/>
        </w:rPr>
      </w:pPr>
    </w:p>
    <w:p w:rsidR="00A854CD" w:rsidRDefault="00A854CD" w:rsidP="005F195E">
      <w:pPr>
        <w:spacing w:after="0" w:line="240" w:lineRule="auto"/>
        <w:rPr>
          <w:rFonts w:eastAsia="Calibri" w:cs="Times New Roman"/>
          <w:b/>
          <w:lang w:eastAsia="cs-CZ"/>
        </w:rPr>
      </w:pPr>
    </w:p>
    <w:p w:rsidR="00A854CD" w:rsidRDefault="00A854CD" w:rsidP="005F195E">
      <w:pPr>
        <w:spacing w:after="0" w:line="240" w:lineRule="auto"/>
        <w:rPr>
          <w:rFonts w:eastAsia="Calibri" w:cs="Times New Roman"/>
          <w:b/>
          <w:lang w:eastAsia="cs-CZ"/>
        </w:rPr>
      </w:pPr>
    </w:p>
    <w:p w:rsidR="00A854CD" w:rsidRDefault="00A854CD" w:rsidP="005F195E">
      <w:pPr>
        <w:spacing w:after="0" w:line="240" w:lineRule="auto"/>
        <w:rPr>
          <w:rFonts w:eastAsia="Calibri" w:cs="Times New Roman"/>
          <w:b/>
          <w:lang w:eastAsia="cs-CZ"/>
        </w:rPr>
      </w:pPr>
    </w:p>
    <w:p w:rsidR="00A854CD" w:rsidRDefault="00A854CD" w:rsidP="005F195E">
      <w:pPr>
        <w:spacing w:after="0" w:line="240" w:lineRule="auto"/>
        <w:rPr>
          <w:rFonts w:eastAsia="Calibri" w:cs="Times New Roman"/>
          <w:b/>
          <w:lang w:eastAsia="cs-CZ"/>
        </w:rPr>
      </w:pPr>
    </w:p>
    <w:p w:rsidR="00A854CD" w:rsidRDefault="00A854CD" w:rsidP="005F195E">
      <w:pPr>
        <w:spacing w:after="0" w:line="240" w:lineRule="auto"/>
        <w:rPr>
          <w:rFonts w:eastAsia="Calibri" w:cs="Times New Roman"/>
          <w:b/>
          <w:lang w:eastAsia="cs-CZ"/>
        </w:rPr>
      </w:pPr>
    </w:p>
    <w:p w:rsidR="00A854CD" w:rsidRDefault="00A854CD" w:rsidP="005F195E">
      <w:pPr>
        <w:spacing w:after="0" w:line="240" w:lineRule="auto"/>
        <w:rPr>
          <w:rFonts w:eastAsia="Calibri" w:cs="Times New Roman"/>
          <w:b/>
          <w:lang w:eastAsia="cs-CZ"/>
        </w:rPr>
      </w:pPr>
    </w:p>
    <w:p w:rsidR="005F195E" w:rsidRPr="00BD5319" w:rsidRDefault="005F195E" w:rsidP="005F195E">
      <w:pPr>
        <w:spacing w:after="0" w:line="240" w:lineRule="auto"/>
        <w:rPr>
          <w:rFonts w:eastAsia="Calibri" w:cs="Times New Roman"/>
          <w:b/>
          <w:lang w:eastAsia="cs-CZ"/>
        </w:rPr>
      </w:pPr>
      <w:r w:rsidRPr="00BD5319">
        <w:rPr>
          <w:rFonts w:eastAsia="Calibri" w:cs="Times New Roman"/>
          <w:b/>
          <w:lang w:eastAsia="cs-CZ"/>
        </w:rPr>
        <w:lastRenderedPageBreak/>
        <w:t xml:space="preserve">Odpověď: </w:t>
      </w:r>
    </w:p>
    <w:p w:rsidR="005008B6" w:rsidRPr="005008B6" w:rsidRDefault="005008B6" w:rsidP="005008B6">
      <w:pPr>
        <w:spacing w:after="0" w:line="240" w:lineRule="auto"/>
        <w:rPr>
          <w:rFonts w:eastAsia="Calibri" w:cs="Times New Roman"/>
          <w:lang w:eastAsia="cs-CZ"/>
        </w:rPr>
      </w:pPr>
      <w:r w:rsidRPr="005008B6">
        <w:rPr>
          <w:rFonts w:eastAsia="Calibri" w:cs="Times New Roman"/>
          <w:lang w:eastAsia="cs-CZ"/>
        </w:rPr>
        <w:t>Zadavatel obdržel Vaši Žádost o vysvětlení zadávací dokumentace na Veřejnou zakázku „Výstavba TNS Stéblová“ ze dne 14. 5. 2020.</w:t>
      </w:r>
    </w:p>
    <w:p w:rsidR="005008B6" w:rsidRPr="005008B6" w:rsidRDefault="005008B6" w:rsidP="005008B6">
      <w:pPr>
        <w:spacing w:after="0" w:line="240" w:lineRule="auto"/>
        <w:rPr>
          <w:rFonts w:eastAsia="Calibri" w:cs="Times New Roman"/>
          <w:lang w:eastAsia="cs-CZ"/>
        </w:rPr>
      </w:pPr>
      <w:r w:rsidRPr="005008B6">
        <w:rPr>
          <w:rFonts w:eastAsia="Calibri" w:cs="Times New Roman"/>
          <w:lang w:eastAsia="cs-CZ"/>
        </w:rPr>
        <w:t>V této žádosti požadujete, aby zadavatel upravil požadavky na technickou kvalifikaci uvedenou v čl. 8.5 Pokynů pro dodavatele, konkrétně snížil hodnotu pro nejvýznamnější stavební práci, která musela zahrnovat novostavbu nebo rekonstrukci stejnosměrné trakční napájecí stanice železničních drah v hodnotě nejméně 120 000 000,- Kč bez DPH (uvedená částka se vztahuje k hodnotě novostavby nebo rekonstrukce stejnosměrné trakční napájecí stanice, nikoli k hodnotě nejvýznamnější stavební práce, tj. zakázky jako celku).</w:t>
      </w:r>
    </w:p>
    <w:p w:rsidR="005008B6" w:rsidRPr="005008B6" w:rsidRDefault="005008B6" w:rsidP="005008B6">
      <w:pPr>
        <w:spacing w:after="0" w:line="240" w:lineRule="auto"/>
        <w:rPr>
          <w:rFonts w:eastAsia="Calibri" w:cs="Times New Roman"/>
          <w:lang w:eastAsia="cs-CZ"/>
        </w:rPr>
      </w:pPr>
    </w:p>
    <w:p w:rsidR="005008B6" w:rsidRPr="005008B6" w:rsidRDefault="005008B6" w:rsidP="005008B6">
      <w:pPr>
        <w:spacing w:after="0" w:line="240" w:lineRule="auto"/>
        <w:rPr>
          <w:rFonts w:eastAsia="Calibri" w:cs="Times New Roman"/>
          <w:b/>
          <w:lang w:eastAsia="cs-CZ"/>
        </w:rPr>
      </w:pPr>
      <w:r w:rsidRPr="005008B6">
        <w:rPr>
          <w:rFonts w:eastAsia="Calibri" w:cs="Times New Roman"/>
          <w:b/>
          <w:lang w:eastAsia="cs-CZ"/>
        </w:rPr>
        <w:t xml:space="preserve">Zadavatel vycházel při stanovení minimální hodnoty </w:t>
      </w:r>
      <w:r w:rsidRPr="005008B6">
        <w:rPr>
          <w:rFonts w:eastAsia="Calibri" w:cs="Times New Roman"/>
          <w:lang w:eastAsia="cs-CZ"/>
        </w:rPr>
        <w:t>novostavby nebo rekonstrukce stejnosměrné trakční napájecí stanice</w:t>
      </w:r>
      <w:r w:rsidRPr="005008B6">
        <w:rPr>
          <w:rFonts w:eastAsia="Calibri" w:cs="Times New Roman"/>
          <w:b/>
          <w:lang w:eastAsia="cs-CZ"/>
        </w:rPr>
        <w:t xml:space="preserve"> z níže uvedených parametrů veřejné zakázky.</w:t>
      </w:r>
    </w:p>
    <w:p w:rsidR="005008B6" w:rsidRPr="005008B6" w:rsidRDefault="005008B6" w:rsidP="005008B6">
      <w:pPr>
        <w:spacing w:after="0" w:line="240" w:lineRule="auto"/>
        <w:rPr>
          <w:rFonts w:eastAsia="Calibri" w:cs="Times New Roman"/>
          <w:b/>
          <w:lang w:eastAsia="cs-CZ"/>
        </w:rPr>
      </w:pPr>
    </w:p>
    <w:p w:rsidR="005008B6" w:rsidRPr="005008B6" w:rsidRDefault="005008B6" w:rsidP="005008B6">
      <w:pPr>
        <w:spacing w:after="0" w:line="240" w:lineRule="auto"/>
        <w:rPr>
          <w:rFonts w:eastAsia="Calibri" w:cs="Times New Roman"/>
          <w:lang w:eastAsia="cs-CZ"/>
        </w:rPr>
      </w:pPr>
      <w:r w:rsidRPr="005008B6">
        <w:rPr>
          <w:rFonts w:eastAsia="Calibri" w:cs="Times New Roman"/>
          <w:lang w:eastAsia="cs-CZ"/>
        </w:rPr>
        <w:t>Předpokládaná hodnota plnění vybraného dodavatele po odečtení hodnoty vyhrazených změn závazků ze smlouvy, činí 243 412 066,- Kč (bez DPH).</w:t>
      </w:r>
    </w:p>
    <w:p w:rsidR="005008B6" w:rsidRPr="005008B6" w:rsidRDefault="005008B6" w:rsidP="005008B6">
      <w:pPr>
        <w:spacing w:after="0" w:line="240" w:lineRule="auto"/>
        <w:rPr>
          <w:rFonts w:eastAsia="Calibri" w:cs="Times New Roman"/>
          <w:lang w:eastAsia="cs-CZ"/>
        </w:rPr>
      </w:pPr>
    </w:p>
    <w:p w:rsidR="005008B6" w:rsidRPr="005008B6" w:rsidRDefault="005008B6" w:rsidP="005008B6">
      <w:pPr>
        <w:spacing w:after="0" w:line="240" w:lineRule="auto"/>
        <w:rPr>
          <w:rFonts w:eastAsia="Calibri" w:cs="Times New Roman"/>
          <w:lang w:eastAsia="cs-CZ"/>
        </w:rPr>
      </w:pPr>
      <w:r w:rsidRPr="005008B6">
        <w:rPr>
          <w:rFonts w:eastAsia="Calibri" w:cs="Times New Roman"/>
          <w:lang w:eastAsia="cs-CZ"/>
        </w:rPr>
        <w:t xml:space="preserve">Požadovaná minimální hodnota pro nejvýznamnější stavební práci ve výši 120 000 000,- Kč bez DPH </w:t>
      </w:r>
      <w:r w:rsidRPr="005008B6">
        <w:rPr>
          <w:rFonts w:eastAsia="Calibri" w:cs="Times New Roman"/>
          <w:b/>
          <w:lang w:eastAsia="cs-CZ"/>
        </w:rPr>
        <w:t>nedosahuje tedy ani 50% předpokládané hodnoty plnění dodavatele</w:t>
      </w:r>
      <w:r w:rsidRPr="005008B6">
        <w:rPr>
          <w:rFonts w:eastAsia="Calibri" w:cs="Times New Roman"/>
          <w:lang w:eastAsia="cs-CZ"/>
        </w:rPr>
        <w:t xml:space="preserve">.  </w:t>
      </w:r>
    </w:p>
    <w:p w:rsidR="005008B6" w:rsidRPr="005008B6" w:rsidRDefault="005008B6" w:rsidP="005008B6">
      <w:pPr>
        <w:spacing w:after="0" w:line="240" w:lineRule="auto"/>
        <w:rPr>
          <w:rFonts w:eastAsia="Calibri" w:cs="Times New Roman"/>
          <w:b/>
          <w:lang w:eastAsia="cs-CZ"/>
        </w:rPr>
      </w:pPr>
    </w:p>
    <w:p w:rsidR="005008B6" w:rsidRPr="005008B6" w:rsidRDefault="005008B6" w:rsidP="005008B6">
      <w:pPr>
        <w:spacing w:after="0" w:line="240" w:lineRule="auto"/>
        <w:rPr>
          <w:rFonts w:eastAsia="Calibri" w:cs="Times New Roman"/>
          <w:lang w:eastAsia="cs-CZ"/>
        </w:rPr>
      </w:pPr>
      <w:r w:rsidRPr="005008B6">
        <w:rPr>
          <w:rFonts w:eastAsia="Calibri" w:cs="Times New Roman"/>
          <w:lang w:eastAsia="cs-CZ"/>
        </w:rPr>
        <w:t xml:space="preserve">Zákon nestanovuje podrobnější návod, který by poskytoval odpověď na otázku, jaká kritéria (včetně minimální úrovně) technické kvalifikace jsou ještě přiměřená složitosti a rozsahu veřejné zakázky a jaká již nikoliv (a to ani u maximální hodnoty referencí, jakou lze požadovat u veřejných zakázek na stavební práce). Zadavatel tuto hodnotu stanovil tak, aby uchazeč prokázal, že má </w:t>
      </w:r>
      <w:r w:rsidRPr="005008B6">
        <w:rPr>
          <w:rFonts w:eastAsia="Calibri" w:cs="Times New Roman"/>
          <w:b/>
          <w:lang w:eastAsia="cs-CZ"/>
        </w:rPr>
        <w:t>zkušenost alespoň s obdobnou zakázkou blížící se polovičnímu rozsahu příslušné veřejné zakázky.</w:t>
      </w:r>
      <w:r w:rsidRPr="005008B6">
        <w:rPr>
          <w:rFonts w:eastAsia="Calibri" w:cs="Times New Roman"/>
          <w:lang w:eastAsia="cs-CZ"/>
        </w:rPr>
        <w:t xml:space="preserve"> V této souvislosti si zadavatel dovoluje zmínit, že předchozí zákon č. 137/2006 Sb., o veřejných zakázkách přímo omezoval maximální rozsah referenčních zakázek na stavební práce na nejvýše 50 % předpokládané hodnoty příslušné veřejné zakázky na stavební práce.  </w:t>
      </w:r>
    </w:p>
    <w:p w:rsidR="005008B6" w:rsidRPr="005008B6" w:rsidRDefault="005008B6" w:rsidP="005008B6">
      <w:pPr>
        <w:spacing w:after="0" w:line="240" w:lineRule="auto"/>
        <w:rPr>
          <w:rFonts w:eastAsia="Calibri" w:cs="Times New Roman"/>
          <w:lang w:eastAsia="cs-CZ"/>
        </w:rPr>
      </w:pPr>
    </w:p>
    <w:p w:rsidR="005008B6" w:rsidRPr="005008B6" w:rsidRDefault="005008B6" w:rsidP="005008B6">
      <w:pPr>
        <w:spacing w:after="0" w:line="240" w:lineRule="auto"/>
        <w:rPr>
          <w:rFonts w:eastAsia="Calibri" w:cs="Times New Roman"/>
          <w:b/>
          <w:lang w:eastAsia="cs-CZ"/>
        </w:rPr>
      </w:pPr>
      <w:r w:rsidRPr="005008B6">
        <w:rPr>
          <w:rFonts w:eastAsia="Calibri" w:cs="Times New Roman"/>
          <w:lang w:eastAsia="cs-CZ"/>
        </w:rPr>
        <w:t xml:space="preserve">Komentáře k současnému zákonu č. 134/2016 Sb., o zadávání veřejných zakázek, doporučují při vymezení minimální úrovně vždy vycházet primárně z věcného vymezení a rozsahu (zejm. finančního) předmětu plnění veřejné zakázky. Požadavky na technickou kvalifikaci by totiž zásadně </w:t>
      </w:r>
      <w:r w:rsidRPr="005008B6">
        <w:rPr>
          <w:rFonts w:eastAsia="Calibri" w:cs="Times New Roman"/>
          <w:b/>
          <w:lang w:eastAsia="cs-CZ"/>
        </w:rPr>
        <w:t xml:space="preserve">neměly přesahovat náročnost vlastního plnění veřejné zakázky. </w:t>
      </w:r>
      <w:r w:rsidRPr="005008B6">
        <w:rPr>
          <w:rFonts w:eastAsia="Calibri" w:cs="Times New Roman"/>
          <w:lang w:eastAsia="cs-CZ"/>
        </w:rPr>
        <w:t>Předpokládaná hodnota novostavby TNS Stéblová, která je předmětem veřejné zakázky, je ve výši 226 147 854,00 Kč bez DPH, z čehož je zřejmé, že požadavek zadavatele náročnost vlastního plnění veřejné zakázky ani zdaleka nepřesahuje a je tak v souladu zákonem a odbornou literaturou.</w:t>
      </w:r>
    </w:p>
    <w:p w:rsidR="005008B6" w:rsidRPr="005008B6" w:rsidRDefault="005008B6" w:rsidP="005008B6">
      <w:pPr>
        <w:spacing w:after="0" w:line="240" w:lineRule="auto"/>
        <w:rPr>
          <w:rFonts w:eastAsia="Calibri" w:cs="Times New Roman"/>
          <w:lang w:eastAsia="cs-CZ"/>
        </w:rPr>
      </w:pPr>
    </w:p>
    <w:p w:rsidR="005008B6" w:rsidRPr="005008B6" w:rsidRDefault="005008B6" w:rsidP="005008B6">
      <w:pPr>
        <w:spacing w:after="0" w:line="240" w:lineRule="auto"/>
        <w:rPr>
          <w:rFonts w:eastAsia="Calibri" w:cs="Times New Roman"/>
          <w:b/>
          <w:lang w:eastAsia="cs-CZ"/>
        </w:rPr>
      </w:pPr>
      <w:r w:rsidRPr="005008B6">
        <w:rPr>
          <w:rFonts w:eastAsia="Calibri" w:cs="Times New Roman"/>
          <w:b/>
          <w:lang w:eastAsia="cs-CZ"/>
        </w:rPr>
        <w:t xml:space="preserve">Zadavatel stanovil požadavky v zadávacích podmínkách tak, aby měl jistotu, že vybraný dodavatel bude schopen takto náročnou zakázku realizovat a úspěšně dokončit. </w:t>
      </w:r>
    </w:p>
    <w:p w:rsidR="005008B6" w:rsidRPr="005008B6" w:rsidRDefault="005008B6" w:rsidP="005008B6">
      <w:pPr>
        <w:spacing w:after="0" w:line="240" w:lineRule="auto"/>
        <w:rPr>
          <w:rFonts w:eastAsia="Calibri" w:cs="Times New Roman"/>
          <w:lang w:eastAsia="cs-CZ"/>
        </w:rPr>
      </w:pPr>
    </w:p>
    <w:p w:rsidR="005008B6" w:rsidRPr="005008B6" w:rsidRDefault="005008B6" w:rsidP="005008B6">
      <w:pPr>
        <w:spacing w:after="0" w:line="240" w:lineRule="auto"/>
        <w:rPr>
          <w:rFonts w:eastAsia="Calibri" w:cs="Times New Roman"/>
          <w:b/>
          <w:lang w:eastAsia="cs-CZ"/>
        </w:rPr>
      </w:pPr>
      <w:r w:rsidRPr="005008B6">
        <w:rPr>
          <w:rFonts w:eastAsia="Calibri" w:cs="Times New Roman"/>
          <w:b/>
          <w:lang w:eastAsia="cs-CZ"/>
        </w:rPr>
        <w:t>Vzhledem k výše uvedenému považuje zadavatel tento svůj požadavek za zcela přiměřený a nebude zadávací dokumentaci v tomto ohledu měnit.</w:t>
      </w:r>
    </w:p>
    <w:p w:rsidR="00A854CD" w:rsidRDefault="00A854CD" w:rsidP="00A854CD">
      <w:pPr>
        <w:spacing w:after="0" w:line="240" w:lineRule="auto"/>
        <w:rPr>
          <w:rFonts w:eastAsia="Times New Roman" w:cs="Times New Roman"/>
          <w:lang w:eastAsia="cs-CZ"/>
        </w:rPr>
      </w:pPr>
    </w:p>
    <w:p w:rsidR="005008B6" w:rsidRDefault="005008B6" w:rsidP="00A854CD">
      <w:pPr>
        <w:spacing w:after="0" w:line="240" w:lineRule="auto"/>
        <w:rPr>
          <w:rFonts w:eastAsia="Times New Roman" w:cs="Times New Roman"/>
          <w:highlight w:val="yellow"/>
          <w:lang w:eastAsia="cs-CZ"/>
        </w:rPr>
      </w:pPr>
    </w:p>
    <w:p w:rsidR="00A854CD" w:rsidRDefault="00A854CD" w:rsidP="00A854CD">
      <w:pPr>
        <w:spacing w:after="0" w:line="240" w:lineRule="auto"/>
        <w:rPr>
          <w:rFonts w:eastAsia="Times New Roman" w:cs="Times New Roman"/>
          <w:highlight w:val="yellow"/>
          <w:lang w:eastAsia="cs-CZ"/>
        </w:rPr>
      </w:pPr>
    </w:p>
    <w:p w:rsidR="005008B6" w:rsidRDefault="00A854CD" w:rsidP="00A854CD">
      <w:pPr>
        <w:spacing w:after="0" w:line="240" w:lineRule="auto"/>
        <w:rPr>
          <w:rFonts w:eastAsia="Times New Roman" w:cs="Times New Roman"/>
          <w:lang w:eastAsia="cs-CZ"/>
        </w:rPr>
      </w:pPr>
      <w:r w:rsidRPr="00A854CD">
        <w:rPr>
          <w:rFonts w:eastAsia="Times New Roman" w:cs="Times New Roman"/>
          <w:lang w:eastAsia="cs-CZ"/>
        </w:rPr>
        <w:t xml:space="preserve">Vzhledem ke skutečnosti, že bylo provedeno pouze </w:t>
      </w:r>
      <w:r w:rsidRPr="00A854CD">
        <w:rPr>
          <w:rFonts w:eastAsia="Times New Roman" w:cs="Times New Roman"/>
          <w:b/>
          <w:lang w:eastAsia="cs-CZ"/>
        </w:rPr>
        <w:t xml:space="preserve">vysvětlení zadávací dokumentace </w:t>
      </w:r>
      <w:proofErr w:type="gramStart"/>
      <w:r w:rsidR="005008B6">
        <w:rPr>
          <w:rFonts w:eastAsia="Times New Roman" w:cs="Times New Roman"/>
          <w:lang w:eastAsia="cs-CZ"/>
        </w:rPr>
        <w:t>dle</w:t>
      </w:r>
      <w:proofErr w:type="gramEnd"/>
    </w:p>
    <w:p w:rsidR="00A854CD" w:rsidRPr="00A854CD" w:rsidRDefault="00A854CD" w:rsidP="00A854CD">
      <w:pPr>
        <w:spacing w:after="0" w:line="240" w:lineRule="auto"/>
        <w:rPr>
          <w:rFonts w:eastAsia="Times New Roman" w:cs="Times New Roman"/>
          <w:lang w:eastAsia="cs-CZ"/>
        </w:rPr>
      </w:pPr>
      <w:r w:rsidRPr="00A854CD">
        <w:rPr>
          <w:rFonts w:eastAsia="Times New Roman" w:cs="Times New Roman"/>
          <w:lang w:eastAsia="cs-CZ"/>
        </w:rPr>
        <w:t>§ 98 ZZVZ, neprodlužuje zadavatel lhůtu pro podání nabídek.</w:t>
      </w:r>
    </w:p>
    <w:p w:rsidR="00A854CD" w:rsidRDefault="00A854CD" w:rsidP="00A854CD">
      <w:pPr>
        <w:spacing w:after="0" w:line="240" w:lineRule="auto"/>
        <w:rPr>
          <w:rFonts w:eastAsia="Times New Roman" w:cs="Times New Roman"/>
          <w:lang w:eastAsia="cs-CZ"/>
        </w:rPr>
      </w:pPr>
    </w:p>
    <w:p w:rsidR="005008B6" w:rsidRPr="00A854CD" w:rsidRDefault="005008B6" w:rsidP="00A854CD">
      <w:pPr>
        <w:spacing w:after="0" w:line="240" w:lineRule="auto"/>
        <w:rPr>
          <w:rFonts w:eastAsia="Times New Roman" w:cs="Times New Roman"/>
          <w:lang w:eastAsia="cs-CZ"/>
        </w:rPr>
      </w:pPr>
    </w:p>
    <w:p w:rsidR="00A854CD" w:rsidRPr="00A854CD" w:rsidRDefault="00A854CD" w:rsidP="00A854CD">
      <w:pPr>
        <w:spacing w:after="0" w:line="240" w:lineRule="auto"/>
        <w:rPr>
          <w:rFonts w:eastAsia="Times New Roman" w:cs="Times New Roman"/>
          <w:lang w:eastAsia="cs-CZ"/>
        </w:rPr>
      </w:pPr>
      <w:r w:rsidRPr="00A854CD">
        <w:rPr>
          <w:rFonts w:eastAsia="Times New Roman" w:cs="Times New Roman"/>
          <w:lang w:eastAsia="cs-CZ"/>
        </w:rPr>
        <w:t>V Olomouci dne 1</w:t>
      </w:r>
      <w:r>
        <w:rPr>
          <w:rFonts w:eastAsia="Times New Roman" w:cs="Times New Roman"/>
          <w:lang w:eastAsia="cs-CZ"/>
        </w:rPr>
        <w:t>9</w:t>
      </w:r>
      <w:r w:rsidRPr="00A854CD">
        <w:rPr>
          <w:rFonts w:eastAsia="Times New Roman" w:cs="Times New Roman"/>
          <w:lang w:eastAsia="cs-CZ"/>
        </w:rPr>
        <w:t>. 5. 2020</w:t>
      </w:r>
    </w:p>
    <w:p w:rsidR="00A854CD" w:rsidRPr="00A854CD" w:rsidRDefault="00A854CD" w:rsidP="00A854CD">
      <w:pPr>
        <w:spacing w:after="0" w:line="240" w:lineRule="auto"/>
        <w:rPr>
          <w:rFonts w:eastAsia="Times New Roman" w:cs="Times New Roman"/>
          <w:lang w:eastAsia="cs-CZ"/>
        </w:rPr>
      </w:pPr>
    </w:p>
    <w:p w:rsidR="00A854CD" w:rsidRDefault="00A854CD" w:rsidP="00A854CD">
      <w:pPr>
        <w:spacing w:after="0" w:line="240" w:lineRule="auto"/>
        <w:rPr>
          <w:rFonts w:eastAsia="Times New Roman" w:cs="Times New Roman"/>
          <w:lang w:eastAsia="cs-CZ"/>
        </w:rPr>
      </w:pPr>
    </w:p>
    <w:p w:rsidR="005008B6" w:rsidRDefault="005008B6" w:rsidP="00A854CD">
      <w:pPr>
        <w:spacing w:after="0" w:line="240" w:lineRule="auto"/>
        <w:rPr>
          <w:rFonts w:eastAsia="Times New Roman" w:cs="Times New Roman"/>
          <w:lang w:eastAsia="cs-CZ"/>
        </w:rPr>
      </w:pPr>
    </w:p>
    <w:p w:rsidR="005008B6" w:rsidRPr="00A854CD" w:rsidRDefault="005008B6" w:rsidP="00A854CD">
      <w:pPr>
        <w:spacing w:after="0" w:line="240" w:lineRule="auto"/>
        <w:rPr>
          <w:rFonts w:eastAsia="Times New Roman" w:cs="Times New Roman"/>
          <w:lang w:eastAsia="cs-CZ"/>
        </w:rPr>
      </w:pPr>
      <w:bookmarkStart w:id="1" w:name="_GoBack"/>
      <w:bookmarkEnd w:id="1"/>
    </w:p>
    <w:p w:rsidR="00A854CD" w:rsidRPr="00A854CD" w:rsidRDefault="00A854CD" w:rsidP="00A854CD">
      <w:pPr>
        <w:spacing w:after="0" w:line="240" w:lineRule="auto"/>
        <w:rPr>
          <w:rFonts w:eastAsia="Times New Roman" w:cs="Times New Roman"/>
          <w:lang w:eastAsia="cs-CZ"/>
        </w:rPr>
      </w:pPr>
    </w:p>
    <w:p w:rsidR="00A854CD" w:rsidRPr="00A854CD" w:rsidRDefault="00A854CD" w:rsidP="00A854CD">
      <w:pPr>
        <w:spacing w:after="0" w:line="240" w:lineRule="auto"/>
        <w:rPr>
          <w:rFonts w:eastAsia="Times New Roman" w:cs="Times New Roman"/>
          <w:b/>
          <w:lang w:eastAsia="cs-CZ"/>
        </w:rPr>
      </w:pPr>
      <w:r w:rsidRPr="00A854CD">
        <w:rPr>
          <w:rFonts w:eastAsia="Times New Roman" w:cs="Times New Roman"/>
          <w:b/>
          <w:bCs/>
          <w:lang w:eastAsia="cs-CZ"/>
        </w:rPr>
        <w:t>Ing. Miroslav Bocák</w:t>
      </w:r>
      <w:r w:rsidRPr="00A854CD">
        <w:rPr>
          <w:rFonts w:eastAsia="Times New Roman" w:cs="Times New Roman"/>
          <w:b/>
          <w:lang w:eastAsia="cs-CZ"/>
        </w:rPr>
        <w:t xml:space="preserve"> </w:t>
      </w:r>
    </w:p>
    <w:p w:rsidR="00A854CD" w:rsidRPr="00A854CD" w:rsidRDefault="00A854CD" w:rsidP="00A854CD">
      <w:pPr>
        <w:spacing w:after="0" w:line="240" w:lineRule="auto"/>
        <w:rPr>
          <w:rFonts w:eastAsia="Times New Roman" w:cs="Times New Roman"/>
          <w:lang w:eastAsia="cs-CZ"/>
        </w:rPr>
      </w:pPr>
      <w:r w:rsidRPr="00A854CD">
        <w:rPr>
          <w:rFonts w:eastAsia="Times New Roman" w:cs="Times New Roman"/>
          <w:lang w:eastAsia="cs-CZ"/>
        </w:rPr>
        <w:t>ředitel organizační jednotky</w:t>
      </w:r>
      <w:r w:rsidRPr="00A854CD">
        <w:rPr>
          <w:rFonts w:eastAsia="Times New Roman" w:cs="Times New Roman"/>
          <w:lang w:eastAsia="cs-CZ"/>
        </w:rPr>
        <w:tab/>
      </w:r>
    </w:p>
    <w:p w:rsidR="00A854CD" w:rsidRPr="00A854CD" w:rsidRDefault="00A854CD" w:rsidP="00A854CD">
      <w:pPr>
        <w:spacing w:after="0" w:line="240" w:lineRule="auto"/>
        <w:rPr>
          <w:rFonts w:eastAsia="Times New Roman" w:cs="Times New Roman"/>
          <w:lang w:eastAsia="cs-CZ"/>
        </w:rPr>
      </w:pPr>
      <w:r w:rsidRPr="00A854CD">
        <w:rPr>
          <w:rFonts w:eastAsia="Times New Roman" w:cs="Times New Roman"/>
          <w:lang w:eastAsia="cs-CZ"/>
        </w:rPr>
        <w:t>Stavební správa východ</w:t>
      </w:r>
    </w:p>
    <w:p w:rsidR="00A854CD" w:rsidRPr="00A854CD" w:rsidRDefault="00A854CD" w:rsidP="00A854CD">
      <w:pPr>
        <w:spacing w:after="0" w:line="240" w:lineRule="auto"/>
        <w:rPr>
          <w:rFonts w:eastAsia="Times New Roman" w:cs="Times New Roman"/>
          <w:lang w:eastAsia="cs-CZ"/>
        </w:rPr>
      </w:pPr>
      <w:r w:rsidRPr="00A854CD">
        <w:rPr>
          <w:rFonts w:eastAsia="Times New Roman" w:cs="Times New Roman"/>
          <w:lang w:eastAsia="cs-CZ"/>
        </w:rPr>
        <w:t>Správa železnic, státní organizace</w:t>
      </w:r>
    </w:p>
    <w:p w:rsidR="00CB7B5A" w:rsidRPr="00CA3AC2" w:rsidRDefault="00CB7B5A" w:rsidP="00CA3AC2">
      <w:pPr>
        <w:spacing w:after="0" w:line="240" w:lineRule="auto"/>
        <w:rPr>
          <w:rFonts w:eastAsia="Calibri" w:cs="Times New Roman"/>
          <w:lang w:eastAsia="cs-CZ"/>
        </w:rPr>
      </w:pPr>
    </w:p>
    <w:sectPr w:rsidR="00CB7B5A" w:rsidRPr="00CA3AC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97A" w:rsidRDefault="00CB597A" w:rsidP="00962258">
      <w:pPr>
        <w:spacing w:after="0" w:line="240" w:lineRule="auto"/>
      </w:pPr>
      <w:r>
        <w:separator/>
      </w:r>
    </w:p>
  </w:endnote>
  <w:endnote w:type="continuationSeparator" w:id="0">
    <w:p w:rsidR="00CB597A" w:rsidRDefault="00CB59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B597A" w:rsidTr="00D831A3">
      <w:tc>
        <w:tcPr>
          <w:tcW w:w="1361" w:type="dxa"/>
          <w:tcMar>
            <w:left w:w="0" w:type="dxa"/>
            <w:right w:w="0" w:type="dxa"/>
          </w:tcMar>
          <w:vAlign w:val="bottom"/>
        </w:tcPr>
        <w:p w:rsidR="00CB597A" w:rsidRPr="00B8518B" w:rsidRDefault="000A4628" w:rsidP="00B8518B">
          <w:pPr>
            <w:pStyle w:val="Zpat"/>
            <w:rPr>
              <w:rStyle w:val="slostrnky"/>
            </w:rPr>
          </w:pPr>
          <w:r w:rsidRPr="00B8518B">
            <w:rPr>
              <w:rStyle w:val="slostrnky"/>
            </w:rPr>
            <w:fldChar w:fldCharType="begin"/>
          </w:r>
          <w:r w:rsidR="00CB597A" w:rsidRPr="00B8518B">
            <w:rPr>
              <w:rStyle w:val="slostrnky"/>
            </w:rPr>
            <w:instrText>PAGE   \* MERGEFORMAT</w:instrText>
          </w:r>
          <w:r w:rsidRPr="00B8518B">
            <w:rPr>
              <w:rStyle w:val="slostrnky"/>
            </w:rPr>
            <w:fldChar w:fldCharType="separate"/>
          </w:r>
          <w:r w:rsidR="00215A9D">
            <w:rPr>
              <w:rStyle w:val="slostrnky"/>
              <w:noProof/>
            </w:rPr>
            <w:t>3</w:t>
          </w:r>
          <w:r w:rsidRPr="00B8518B">
            <w:rPr>
              <w:rStyle w:val="slostrnky"/>
            </w:rPr>
            <w:fldChar w:fldCharType="end"/>
          </w:r>
          <w:r w:rsidR="00CB597A" w:rsidRPr="00B8518B">
            <w:rPr>
              <w:rStyle w:val="slostrnky"/>
            </w:rPr>
            <w:t>/</w:t>
          </w:r>
          <w:fldSimple w:instr=" NUMPAGES   \* MERGEFORMAT ">
            <w:r w:rsidR="00215A9D" w:rsidRPr="00215A9D">
              <w:rPr>
                <w:rStyle w:val="slostrnky"/>
                <w:noProof/>
              </w:rPr>
              <w:t>3</w:t>
            </w:r>
          </w:fldSimple>
        </w:p>
      </w:tc>
      <w:tc>
        <w:tcPr>
          <w:tcW w:w="3458" w:type="dxa"/>
          <w:shd w:val="clear" w:color="auto" w:fill="auto"/>
          <w:tcMar>
            <w:left w:w="0" w:type="dxa"/>
            <w:right w:w="0" w:type="dxa"/>
          </w:tcMar>
        </w:tcPr>
        <w:p w:rsidR="00CB597A" w:rsidRDefault="00CB597A" w:rsidP="00B8518B">
          <w:pPr>
            <w:pStyle w:val="Zpat"/>
          </w:pPr>
        </w:p>
      </w:tc>
      <w:tc>
        <w:tcPr>
          <w:tcW w:w="2835" w:type="dxa"/>
          <w:shd w:val="clear" w:color="auto" w:fill="auto"/>
          <w:tcMar>
            <w:left w:w="0" w:type="dxa"/>
            <w:right w:w="0" w:type="dxa"/>
          </w:tcMar>
        </w:tcPr>
        <w:p w:rsidR="00CB597A" w:rsidRDefault="00CB597A" w:rsidP="00B8518B">
          <w:pPr>
            <w:pStyle w:val="Zpat"/>
          </w:pPr>
        </w:p>
      </w:tc>
      <w:tc>
        <w:tcPr>
          <w:tcW w:w="2921" w:type="dxa"/>
        </w:tcPr>
        <w:p w:rsidR="00CB597A" w:rsidRDefault="00CB597A" w:rsidP="00D831A3">
          <w:pPr>
            <w:pStyle w:val="Zpat"/>
          </w:pPr>
        </w:p>
      </w:tc>
    </w:tr>
  </w:tbl>
  <w:p w:rsidR="00CB597A" w:rsidRPr="00B8518B" w:rsidRDefault="00215A9D" w:rsidP="00B8518B">
    <w:pPr>
      <w:pStyle w:val="Zpat"/>
      <w:rPr>
        <w:sz w:val="2"/>
        <w:szCs w:val="2"/>
      </w:rPr>
    </w:pPr>
    <w:r>
      <w:rPr>
        <w:noProof/>
        <w:sz w:val="2"/>
        <w:szCs w:val="2"/>
        <w:lang w:eastAsia="cs-CZ"/>
      </w:rPr>
      <w:pict>
        <v:line id="Straight Connector 3" o:spid="_x0000_s4096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w:r>
    <w:r>
      <w:rPr>
        <w:noProof/>
        <w:sz w:val="2"/>
        <w:szCs w:val="2"/>
        <w:lang w:eastAsia="cs-CZ"/>
      </w:rPr>
      <w:pict>
        <v:line id="Straight Connector 2" o:spid="_x0000_s40965"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B597A" w:rsidTr="00F1715C">
      <w:tc>
        <w:tcPr>
          <w:tcW w:w="1361" w:type="dxa"/>
          <w:tcMar>
            <w:left w:w="0" w:type="dxa"/>
            <w:right w:w="0" w:type="dxa"/>
          </w:tcMar>
          <w:vAlign w:val="bottom"/>
        </w:tcPr>
        <w:p w:rsidR="00CB597A" w:rsidRPr="00B8518B" w:rsidRDefault="000A4628" w:rsidP="00460660">
          <w:pPr>
            <w:pStyle w:val="Zpat"/>
            <w:rPr>
              <w:rStyle w:val="slostrnky"/>
            </w:rPr>
          </w:pPr>
          <w:r w:rsidRPr="00B8518B">
            <w:rPr>
              <w:rStyle w:val="slostrnky"/>
            </w:rPr>
            <w:fldChar w:fldCharType="begin"/>
          </w:r>
          <w:r w:rsidR="00CB597A" w:rsidRPr="00B8518B">
            <w:rPr>
              <w:rStyle w:val="slostrnky"/>
            </w:rPr>
            <w:instrText>PAGE   \* MERGEFORMAT</w:instrText>
          </w:r>
          <w:r w:rsidRPr="00B8518B">
            <w:rPr>
              <w:rStyle w:val="slostrnky"/>
            </w:rPr>
            <w:fldChar w:fldCharType="separate"/>
          </w:r>
          <w:r w:rsidR="00D636A0">
            <w:rPr>
              <w:rStyle w:val="slostrnky"/>
              <w:noProof/>
            </w:rPr>
            <w:t>1</w:t>
          </w:r>
          <w:r w:rsidRPr="00B8518B">
            <w:rPr>
              <w:rStyle w:val="slostrnky"/>
            </w:rPr>
            <w:fldChar w:fldCharType="end"/>
          </w:r>
          <w:r w:rsidR="00CB597A" w:rsidRPr="00B8518B">
            <w:rPr>
              <w:rStyle w:val="slostrnky"/>
            </w:rPr>
            <w:t>/</w:t>
          </w:r>
          <w:fldSimple w:instr=" NUMPAGES   \* MERGEFORMAT ">
            <w:r w:rsidR="00D636A0" w:rsidRPr="00D636A0">
              <w:rPr>
                <w:rStyle w:val="slostrnky"/>
                <w:noProof/>
              </w:rPr>
              <w:t>3</w:t>
            </w:r>
          </w:fldSimple>
        </w:p>
      </w:tc>
      <w:tc>
        <w:tcPr>
          <w:tcW w:w="3458" w:type="dxa"/>
          <w:shd w:val="clear" w:color="auto" w:fill="auto"/>
          <w:tcMar>
            <w:left w:w="0" w:type="dxa"/>
            <w:right w:w="0" w:type="dxa"/>
          </w:tcMar>
        </w:tcPr>
        <w:p w:rsidR="00CB597A" w:rsidRDefault="00CB597A" w:rsidP="00CB597A">
          <w:pPr>
            <w:pStyle w:val="Zpat"/>
          </w:pPr>
          <w:r>
            <w:t>Správa železnic, státní organizace</w:t>
          </w:r>
        </w:p>
        <w:p w:rsidR="00CB597A" w:rsidRDefault="00CB597A" w:rsidP="00CB597A">
          <w:pPr>
            <w:pStyle w:val="Zpat"/>
          </w:pPr>
          <w:r>
            <w:t>zapsána v obchodním rejstříku vedeném Městským soudem v Praze, spisová značka A 48384</w:t>
          </w:r>
        </w:p>
      </w:tc>
      <w:tc>
        <w:tcPr>
          <w:tcW w:w="2835" w:type="dxa"/>
          <w:shd w:val="clear" w:color="auto" w:fill="auto"/>
          <w:tcMar>
            <w:left w:w="0" w:type="dxa"/>
            <w:right w:w="0" w:type="dxa"/>
          </w:tcMar>
        </w:tcPr>
        <w:p w:rsidR="00CB597A" w:rsidRDefault="00CB597A" w:rsidP="00CB597A">
          <w:pPr>
            <w:pStyle w:val="Zpat"/>
          </w:pPr>
          <w:r>
            <w:t>Sídlo: Dlážděná 1003/7, 110 00 Praha 1</w:t>
          </w:r>
        </w:p>
        <w:p w:rsidR="00CB597A" w:rsidRDefault="00CB597A" w:rsidP="00CB597A">
          <w:pPr>
            <w:pStyle w:val="Zpat"/>
          </w:pPr>
          <w:r>
            <w:t>IČO: 709 94 234 DIČ: CZ 709 94 234</w:t>
          </w:r>
        </w:p>
        <w:p w:rsidR="00CB597A" w:rsidRDefault="00CB597A" w:rsidP="00CB597A">
          <w:pPr>
            <w:pStyle w:val="Zpat"/>
          </w:pPr>
          <w:r>
            <w:t>www.szdc.cz</w:t>
          </w:r>
        </w:p>
      </w:tc>
      <w:tc>
        <w:tcPr>
          <w:tcW w:w="2921" w:type="dxa"/>
        </w:tcPr>
        <w:p w:rsidR="00CB597A" w:rsidRPr="00D84AC6" w:rsidRDefault="00CB597A" w:rsidP="00CB597A">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CB597A" w:rsidRPr="00D84AC6" w:rsidRDefault="00CB597A" w:rsidP="00CB597A">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CB597A" w:rsidRPr="00D84AC6" w:rsidRDefault="00CB597A" w:rsidP="00CB597A">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CB597A" w:rsidRDefault="00CB597A" w:rsidP="00CB597A">
          <w:pPr>
            <w:pStyle w:val="Zpat"/>
          </w:pPr>
        </w:p>
      </w:tc>
    </w:tr>
  </w:tbl>
  <w:p w:rsidR="00CB597A" w:rsidRPr="00B8518B" w:rsidRDefault="00215A9D" w:rsidP="00460660">
    <w:pPr>
      <w:pStyle w:val="Zpat"/>
      <w:rPr>
        <w:sz w:val="2"/>
        <w:szCs w:val="2"/>
      </w:rPr>
    </w:pPr>
    <w:r>
      <w:rPr>
        <w:noProof/>
        <w:sz w:val="2"/>
        <w:szCs w:val="2"/>
        <w:lang w:eastAsia="cs-CZ"/>
      </w:rPr>
      <w:pict>
        <v:line id="Straight Connector 7" o:spid="_x0000_s40962"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w:r>
    <w:r>
      <w:rPr>
        <w:noProof/>
        <w:sz w:val="2"/>
        <w:szCs w:val="2"/>
        <w:lang w:eastAsia="cs-CZ"/>
      </w:rPr>
      <w:pict>
        <v:line id="Straight Connector 10" o:spid="_x0000_s40961"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w:r>
  </w:p>
  <w:p w:rsidR="00CB597A" w:rsidRPr="00460660" w:rsidRDefault="00CB597A">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97A" w:rsidRDefault="00CB597A" w:rsidP="00962258">
      <w:pPr>
        <w:spacing w:after="0" w:line="240" w:lineRule="auto"/>
      </w:pPr>
      <w:r>
        <w:separator/>
      </w:r>
    </w:p>
  </w:footnote>
  <w:footnote w:type="continuationSeparator" w:id="0">
    <w:p w:rsidR="00CB597A" w:rsidRDefault="00CB597A" w:rsidP="00962258">
      <w:pPr>
        <w:spacing w:after="0" w:line="240" w:lineRule="auto"/>
      </w:pPr>
      <w:r>
        <w:continuationSeparator/>
      </w:r>
    </w:p>
  </w:footnote>
  <w:footnote w:id="1">
    <w:p w:rsidR="005F195E" w:rsidRDefault="005F195E" w:rsidP="005F195E">
      <w:pPr>
        <w:pStyle w:val="Textpoznpodarou"/>
        <w:rPr>
          <w:rFonts w:ascii="Segoe UI" w:hAnsi="Segoe UI" w:cs="Segoe UI"/>
          <w:sz w:val="18"/>
          <w:szCs w:val="18"/>
        </w:rPr>
      </w:pPr>
      <w:r>
        <w:rPr>
          <w:rStyle w:val="Znakapoznpodarou"/>
          <w:rFonts w:ascii="Segoe UI" w:hAnsi="Segoe UI" w:cs="Segoe UI"/>
          <w:sz w:val="18"/>
          <w:szCs w:val="18"/>
        </w:rPr>
        <w:footnoteRef/>
      </w:r>
      <w:r>
        <w:rPr>
          <w:rFonts w:ascii="Segoe UI" w:hAnsi="Segoe UI" w:cs="Segoe UI"/>
          <w:sz w:val="18"/>
          <w:szCs w:val="18"/>
        </w:rPr>
        <w:t xml:space="preserve"> Srov. rozhodnutí Úřadu č. j.: ÚOHS-R0172/2019/VZ-34935/2019/323/</w:t>
      </w:r>
      <w:proofErr w:type="spellStart"/>
      <w:r>
        <w:rPr>
          <w:rFonts w:ascii="Segoe UI" w:hAnsi="Segoe UI" w:cs="Segoe UI"/>
          <w:sz w:val="18"/>
          <w:szCs w:val="18"/>
        </w:rPr>
        <w:t>MBr</w:t>
      </w:r>
      <w:proofErr w:type="spellEnd"/>
      <w:r>
        <w:rPr>
          <w:rFonts w:ascii="Segoe UI" w:hAnsi="Segoe UI" w:cs="Segoe UI"/>
          <w:sz w:val="18"/>
          <w:szCs w:val="18"/>
        </w:rPr>
        <w:t xml:space="preserve"> ze dne 17. 12. 2019.</w:t>
      </w:r>
    </w:p>
  </w:footnote>
  <w:footnote w:id="2">
    <w:p w:rsidR="005F195E" w:rsidRDefault="005F195E" w:rsidP="005F195E">
      <w:pPr>
        <w:pStyle w:val="Textpoznpodarou"/>
        <w:jc w:val="both"/>
        <w:rPr>
          <w:rFonts w:ascii="Segoe UI" w:hAnsi="Segoe UI" w:cs="Segoe UI"/>
          <w:sz w:val="20"/>
        </w:rPr>
      </w:pPr>
      <w:r>
        <w:rPr>
          <w:rStyle w:val="Znakapoznpodarou"/>
        </w:rPr>
        <w:footnoteRef/>
      </w:r>
      <w:r>
        <w:t xml:space="preserve"> </w:t>
      </w:r>
      <w:r>
        <w:rPr>
          <w:rFonts w:ascii="Segoe UI" w:hAnsi="Segoe UI" w:cs="Segoe UI"/>
          <w:sz w:val="18"/>
          <w:szCs w:val="18"/>
        </w:rPr>
        <w:t xml:space="preserve">K tomu např. viz rozhodnutí Úřadu </w:t>
      </w:r>
      <w:proofErr w:type="gramStart"/>
      <w:r>
        <w:rPr>
          <w:rFonts w:ascii="Segoe UI" w:hAnsi="Segoe UI" w:cs="Segoe UI"/>
          <w:sz w:val="18"/>
          <w:szCs w:val="18"/>
        </w:rPr>
        <w:t>č.j.</w:t>
      </w:r>
      <w:proofErr w:type="gramEnd"/>
      <w:r>
        <w:rPr>
          <w:rFonts w:ascii="Segoe UI" w:hAnsi="Segoe UI" w:cs="Segoe UI"/>
          <w:sz w:val="18"/>
          <w:szCs w:val="18"/>
        </w:rPr>
        <w:t>: ÚOHS-S0037/2019/VZ-06365/2019/531/</w:t>
      </w:r>
      <w:proofErr w:type="spellStart"/>
      <w:r>
        <w:rPr>
          <w:rFonts w:ascii="Segoe UI" w:hAnsi="Segoe UI" w:cs="Segoe UI"/>
          <w:sz w:val="18"/>
          <w:szCs w:val="18"/>
        </w:rPr>
        <w:t>VNe</w:t>
      </w:r>
      <w:proofErr w:type="spellEnd"/>
      <w:r>
        <w:rPr>
          <w:rFonts w:ascii="Segoe UI" w:hAnsi="Segoe UI" w:cs="Segoe UI"/>
          <w:sz w:val="18"/>
          <w:szCs w:val="18"/>
        </w:rPr>
        <w:t xml:space="preserve"> ze dne 4. března 2019: </w:t>
      </w:r>
      <w:r>
        <w:rPr>
          <w:rFonts w:ascii="Segoe UI" w:hAnsi="Segoe UI" w:cs="Segoe UI"/>
          <w:i/>
          <w:iCs/>
          <w:sz w:val="18"/>
          <w:szCs w:val="18"/>
        </w:rPr>
        <w:t xml:space="preserve">„(…) </w:t>
      </w:r>
      <w:r>
        <w:rPr>
          <w:rFonts w:ascii="Segoe UI" w:hAnsi="Segoe UI" w:cs="Segoe UI"/>
          <w:i/>
          <w:iCs/>
          <w:sz w:val="18"/>
          <w:szCs w:val="18"/>
          <w:u w:val="single"/>
        </w:rPr>
        <w:t>je to zadavatel, kdo stanovuje zadávací podmínky tak, aby odpovídaly jeho potřebám a tedy reflektovaly jeho potřeby na předmět plnění</w:t>
      </w:r>
      <w:r>
        <w:rPr>
          <w:rFonts w:ascii="Segoe UI" w:hAnsi="Segoe UI" w:cs="Segoe UI"/>
          <w:i/>
          <w:iCs/>
          <w:sz w:val="18"/>
          <w:szCs w:val="18"/>
        </w:rPr>
        <w:t xml:space="preserve">. (…). </w:t>
      </w:r>
      <w:r>
        <w:rPr>
          <w:rFonts w:ascii="Segoe UI" w:hAnsi="Segoe UI" w:cs="Segoe UI"/>
          <w:i/>
          <w:iCs/>
          <w:sz w:val="18"/>
          <w:szCs w:val="18"/>
          <w:u w:val="single"/>
        </w:rPr>
        <w:t>Zadavatel je však i osobou, která nese plnou odpovědnost za stanovení zadávacích podmínek, včetně toho, že zadávací podmínky nebudou bezdůvodně klást překážky dodavatelům, nebudou bezdůvodně „protěžovat“ konkrétního dodavatele nebo okruh dodavatelů, budou transparentní a nediskriminační a nebudou jakýmkoli způsobem (a to jak přímo, tak skrytě) neodůvodněně omezovat hospodářskou soutěž mezi uchazeči o předmětnou veřejnou zakázku</w:t>
      </w:r>
      <w:r>
        <w:rPr>
          <w:rFonts w:ascii="Segoe UI" w:hAnsi="Segoe UI" w:cs="Segoe UI"/>
          <w:i/>
          <w:iCs/>
          <w:sz w:val="18"/>
          <w:szCs w:val="18"/>
        </w:rPr>
        <w:t xml:space="preserve">. K výše uvedenému lze v obecné rovině doplnit, že veškeré požadavky na předmět plnění zadavatel stanoví na základě svých potřeb s ohledem na poptávané plnění. </w:t>
      </w:r>
      <w:r>
        <w:rPr>
          <w:rFonts w:ascii="Segoe UI" w:hAnsi="Segoe UI" w:cs="Segoe UI"/>
          <w:b/>
          <w:i/>
          <w:iCs/>
          <w:sz w:val="18"/>
          <w:szCs w:val="18"/>
          <w:u w:val="single"/>
        </w:rPr>
        <w:t>Veškeré požadavky však musí vždy vycházet z objektivně zdůvodnitelných potřeb zadavatele</w:t>
      </w:r>
      <w:r>
        <w:rPr>
          <w:rFonts w:ascii="Segoe UI" w:hAnsi="Segoe UI" w:cs="Segoe UI"/>
          <w:i/>
          <w:iCs/>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597A" w:rsidTr="00C02D0A">
      <w:trPr>
        <w:trHeight w:hRule="exact" w:val="454"/>
      </w:trPr>
      <w:tc>
        <w:tcPr>
          <w:tcW w:w="1361" w:type="dxa"/>
          <w:tcMar>
            <w:top w:w="57" w:type="dxa"/>
            <w:left w:w="0" w:type="dxa"/>
            <w:right w:w="0" w:type="dxa"/>
          </w:tcMar>
        </w:tcPr>
        <w:p w:rsidR="00CB597A" w:rsidRPr="00B8518B" w:rsidRDefault="00CB597A" w:rsidP="00523EA7">
          <w:pPr>
            <w:pStyle w:val="Zpat"/>
            <w:rPr>
              <w:rStyle w:val="slostrnky"/>
            </w:rPr>
          </w:pPr>
        </w:p>
      </w:tc>
      <w:tc>
        <w:tcPr>
          <w:tcW w:w="3458" w:type="dxa"/>
          <w:shd w:val="clear" w:color="auto" w:fill="auto"/>
          <w:tcMar>
            <w:top w:w="57" w:type="dxa"/>
            <w:left w:w="0" w:type="dxa"/>
            <w:right w:w="0" w:type="dxa"/>
          </w:tcMar>
        </w:tcPr>
        <w:p w:rsidR="00CB597A" w:rsidRDefault="00CB597A" w:rsidP="00523EA7">
          <w:pPr>
            <w:pStyle w:val="Zpat"/>
          </w:pPr>
        </w:p>
      </w:tc>
      <w:tc>
        <w:tcPr>
          <w:tcW w:w="5698" w:type="dxa"/>
          <w:shd w:val="clear" w:color="auto" w:fill="auto"/>
          <w:tcMar>
            <w:top w:w="57" w:type="dxa"/>
            <w:left w:w="0" w:type="dxa"/>
            <w:right w:w="0" w:type="dxa"/>
          </w:tcMar>
        </w:tcPr>
        <w:p w:rsidR="00CB597A" w:rsidRPr="00D6163D" w:rsidRDefault="00CB597A" w:rsidP="00D6163D">
          <w:pPr>
            <w:pStyle w:val="Druhdokumentu"/>
          </w:pPr>
        </w:p>
      </w:tc>
    </w:tr>
  </w:tbl>
  <w:p w:rsidR="00CB597A" w:rsidRPr="00D6163D" w:rsidRDefault="00CB597A">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597A" w:rsidTr="00F1715C">
      <w:trPr>
        <w:trHeight w:hRule="exact" w:val="936"/>
      </w:trPr>
      <w:tc>
        <w:tcPr>
          <w:tcW w:w="1361" w:type="dxa"/>
          <w:tcMar>
            <w:left w:w="0" w:type="dxa"/>
            <w:right w:w="0" w:type="dxa"/>
          </w:tcMar>
        </w:tcPr>
        <w:p w:rsidR="00CB597A" w:rsidRPr="00B8518B" w:rsidRDefault="00CB597A" w:rsidP="00FC6389">
          <w:pPr>
            <w:pStyle w:val="Zpat"/>
            <w:rPr>
              <w:rStyle w:val="slostrnky"/>
            </w:rPr>
          </w:pPr>
          <w:r>
            <w:rPr>
              <w:noProof/>
              <w:lang w:eastAsia="cs-CZ"/>
            </w:rPr>
            <w:drawing>
              <wp:anchor distT="0" distB="0" distL="114300" distR="114300" simplePos="0" relativeHeight="251683840" behindDoc="0" locked="1" layoutInCell="1" allowOverlap="1">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anchor>
            </w:drawing>
          </w:r>
          <w:r w:rsidR="00215A9D">
            <w:rPr>
              <w:noProof/>
              <w:lang w:eastAsia="cs-CZ"/>
            </w:rPr>
            <w:pict>
              <v:shape id="Half Frame 8" o:spid="_x0000_s40964"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w:r>
        </w:p>
      </w:tc>
      <w:tc>
        <w:tcPr>
          <w:tcW w:w="3458" w:type="dxa"/>
          <w:shd w:val="clear" w:color="auto" w:fill="auto"/>
          <w:tcMar>
            <w:left w:w="0" w:type="dxa"/>
            <w:right w:w="0" w:type="dxa"/>
          </w:tcMar>
        </w:tcPr>
        <w:p w:rsidR="00CB597A" w:rsidRDefault="00CB597A" w:rsidP="00FC6389">
          <w:pPr>
            <w:pStyle w:val="Zpat"/>
          </w:pPr>
        </w:p>
      </w:tc>
      <w:tc>
        <w:tcPr>
          <w:tcW w:w="5698" w:type="dxa"/>
          <w:shd w:val="clear" w:color="auto" w:fill="auto"/>
          <w:tcMar>
            <w:left w:w="0" w:type="dxa"/>
            <w:right w:w="0" w:type="dxa"/>
          </w:tcMar>
        </w:tcPr>
        <w:p w:rsidR="00CB597A" w:rsidRPr="00D6163D" w:rsidRDefault="00CB597A" w:rsidP="00FC6389">
          <w:pPr>
            <w:pStyle w:val="Druhdokumentu"/>
          </w:pPr>
        </w:p>
      </w:tc>
    </w:tr>
    <w:tr w:rsidR="00CB597A" w:rsidTr="00F64786">
      <w:trPr>
        <w:trHeight w:hRule="exact" w:val="452"/>
      </w:trPr>
      <w:tc>
        <w:tcPr>
          <w:tcW w:w="1361" w:type="dxa"/>
          <w:tcMar>
            <w:left w:w="0" w:type="dxa"/>
            <w:right w:w="0" w:type="dxa"/>
          </w:tcMar>
        </w:tcPr>
        <w:p w:rsidR="00CB597A" w:rsidRPr="00B8518B" w:rsidRDefault="00CB597A" w:rsidP="00FC6389">
          <w:pPr>
            <w:pStyle w:val="Zpat"/>
            <w:rPr>
              <w:rStyle w:val="slostrnky"/>
            </w:rPr>
          </w:pPr>
        </w:p>
      </w:tc>
      <w:tc>
        <w:tcPr>
          <w:tcW w:w="3458" w:type="dxa"/>
          <w:shd w:val="clear" w:color="auto" w:fill="auto"/>
          <w:tcMar>
            <w:left w:w="0" w:type="dxa"/>
            <w:right w:w="0" w:type="dxa"/>
          </w:tcMar>
        </w:tcPr>
        <w:p w:rsidR="00CB597A" w:rsidRDefault="00CB597A" w:rsidP="00FC6389">
          <w:pPr>
            <w:pStyle w:val="Zpat"/>
          </w:pPr>
        </w:p>
      </w:tc>
      <w:tc>
        <w:tcPr>
          <w:tcW w:w="5698" w:type="dxa"/>
          <w:shd w:val="clear" w:color="auto" w:fill="auto"/>
          <w:tcMar>
            <w:left w:w="0" w:type="dxa"/>
            <w:right w:w="0" w:type="dxa"/>
          </w:tcMar>
        </w:tcPr>
        <w:p w:rsidR="00CB597A" w:rsidRDefault="00CB597A" w:rsidP="00FC6389">
          <w:pPr>
            <w:pStyle w:val="Druhdokumentu"/>
            <w:rPr>
              <w:noProof/>
            </w:rPr>
          </w:pPr>
        </w:p>
      </w:tc>
    </w:tr>
  </w:tbl>
  <w:p w:rsidR="00CB597A" w:rsidRPr="00D6163D" w:rsidRDefault="00215A9D" w:rsidP="00FC6389">
    <w:pPr>
      <w:pStyle w:val="Zhlav"/>
      <w:rPr>
        <w:sz w:val="8"/>
        <w:szCs w:val="8"/>
      </w:rPr>
    </w:pPr>
    <w:r>
      <w:rPr>
        <w:noProof/>
        <w:lang w:eastAsia="cs-CZ"/>
      </w:rPr>
      <w:pict>
        <v:shape id="Half Frame 11" o:spid="_x0000_s40963"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w:r>
  </w:p>
  <w:p w:rsidR="00CB597A" w:rsidRPr="00460660" w:rsidRDefault="00CB597A">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2BF76403"/>
    <w:multiLevelType w:val="multilevel"/>
    <w:tmpl w:val="0D34D660"/>
    <w:numStyleLink w:val="ListBulletmultilevel"/>
  </w:abstractNum>
  <w:abstractNum w:abstractNumId="4">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5">
    <w:nsid w:val="74070991"/>
    <w:multiLevelType w:val="multilevel"/>
    <w:tmpl w:val="CABE99FC"/>
    <w:numStyleLink w:val="ListNumbermultilevel"/>
  </w:abstractNum>
  <w:num w:numId="1">
    <w:abstractNumId w:val="2"/>
  </w:num>
  <w:num w:numId="2">
    <w:abstractNumId w:val="1"/>
  </w:num>
  <w:num w:numId="3">
    <w:abstractNumId w:val="3"/>
  </w:num>
  <w:num w:numId="4">
    <w:abstractNumId w:val="5"/>
  </w:num>
  <w:num w:numId="5">
    <w:abstractNumId w:val="0"/>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LockTheme/>
  <w:styleLockQFSet/>
  <w:defaultTabStop w:val="708"/>
  <w:hyphenationZone w:val="425"/>
  <w:doNotShadeFormData/>
  <w:characterSpacingControl w:val="doNotCompress"/>
  <w:hdrShapeDefaults>
    <o:shapedefaults v:ext="edit" spidmax="40967"/>
    <o:shapelayout v:ext="edit">
      <o:idmap v:ext="edit" data="40"/>
    </o:shapelayout>
  </w:hdrShapeDefaults>
  <w:footnotePr>
    <w:footnote w:id="-1"/>
    <w:footnote w:id="0"/>
  </w:footnotePr>
  <w:endnotePr>
    <w:endnote w:id="-1"/>
    <w:endnote w:id="0"/>
  </w:endnotePr>
  <w:compat>
    <w:compatSetting w:name="compatibilityMode" w:uri="http://schemas.microsoft.com/office/word" w:val="12"/>
  </w:compat>
  <w:rsids>
    <w:rsidRoot w:val="00891334"/>
    <w:rsid w:val="00000DA0"/>
    <w:rsid w:val="00033432"/>
    <w:rsid w:val="000335CC"/>
    <w:rsid w:val="00050703"/>
    <w:rsid w:val="00072C1E"/>
    <w:rsid w:val="000A4628"/>
    <w:rsid w:val="000B3A82"/>
    <w:rsid w:val="000B6C7E"/>
    <w:rsid w:val="000B7907"/>
    <w:rsid w:val="000C0429"/>
    <w:rsid w:val="000C45E8"/>
    <w:rsid w:val="000F5A64"/>
    <w:rsid w:val="00114472"/>
    <w:rsid w:val="00133EB5"/>
    <w:rsid w:val="00170EC5"/>
    <w:rsid w:val="001747C1"/>
    <w:rsid w:val="0018596A"/>
    <w:rsid w:val="001B69C2"/>
    <w:rsid w:val="001C4DA0"/>
    <w:rsid w:val="00207DF5"/>
    <w:rsid w:val="00215A9D"/>
    <w:rsid w:val="00267369"/>
    <w:rsid w:val="0026785D"/>
    <w:rsid w:val="00273528"/>
    <w:rsid w:val="002C31BF"/>
    <w:rsid w:val="002E0CD7"/>
    <w:rsid w:val="002F026B"/>
    <w:rsid w:val="00357BC6"/>
    <w:rsid w:val="0037111D"/>
    <w:rsid w:val="003756B9"/>
    <w:rsid w:val="003956C6"/>
    <w:rsid w:val="003A3522"/>
    <w:rsid w:val="003E6B9A"/>
    <w:rsid w:val="003E75CE"/>
    <w:rsid w:val="0041380F"/>
    <w:rsid w:val="00450F07"/>
    <w:rsid w:val="00453CD3"/>
    <w:rsid w:val="00455BC7"/>
    <w:rsid w:val="00460660"/>
    <w:rsid w:val="00460CCB"/>
    <w:rsid w:val="00477370"/>
    <w:rsid w:val="00486107"/>
    <w:rsid w:val="00491827"/>
    <w:rsid w:val="004926B0"/>
    <w:rsid w:val="004A7C69"/>
    <w:rsid w:val="004C4399"/>
    <w:rsid w:val="004C69ED"/>
    <w:rsid w:val="004C787C"/>
    <w:rsid w:val="004F4B9B"/>
    <w:rsid w:val="005008B6"/>
    <w:rsid w:val="00501654"/>
    <w:rsid w:val="00511AB9"/>
    <w:rsid w:val="00515A53"/>
    <w:rsid w:val="00523EA7"/>
    <w:rsid w:val="00542527"/>
    <w:rsid w:val="00551D1F"/>
    <w:rsid w:val="00553375"/>
    <w:rsid w:val="00563F97"/>
    <w:rsid w:val="005658A6"/>
    <w:rsid w:val="005720E7"/>
    <w:rsid w:val="005722BB"/>
    <w:rsid w:val="005736B7"/>
    <w:rsid w:val="00575E5A"/>
    <w:rsid w:val="00584E2A"/>
    <w:rsid w:val="00596C7E"/>
    <w:rsid w:val="005A64E9"/>
    <w:rsid w:val="005B5EE9"/>
    <w:rsid w:val="005D5610"/>
    <w:rsid w:val="005F195E"/>
    <w:rsid w:val="006104F6"/>
    <w:rsid w:val="0061068E"/>
    <w:rsid w:val="00660AD3"/>
    <w:rsid w:val="006A5570"/>
    <w:rsid w:val="006A689C"/>
    <w:rsid w:val="006B3D79"/>
    <w:rsid w:val="006E0578"/>
    <w:rsid w:val="006E314D"/>
    <w:rsid w:val="006E7F06"/>
    <w:rsid w:val="006F6B40"/>
    <w:rsid w:val="00710723"/>
    <w:rsid w:val="00712ED1"/>
    <w:rsid w:val="00723ED1"/>
    <w:rsid w:val="00735ED4"/>
    <w:rsid w:val="00743525"/>
    <w:rsid w:val="007531A0"/>
    <w:rsid w:val="0076286B"/>
    <w:rsid w:val="00764595"/>
    <w:rsid w:val="00766846"/>
    <w:rsid w:val="0077673A"/>
    <w:rsid w:val="007846E1"/>
    <w:rsid w:val="007B570C"/>
    <w:rsid w:val="007D6B20"/>
    <w:rsid w:val="007E4A6E"/>
    <w:rsid w:val="007F56A7"/>
    <w:rsid w:val="00807DD0"/>
    <w:rsid w:val="00813F11"/>
    <w:rsid w:val="00814739"/>
    <w:rsid w:val="00816533"/>
    <w:rsid w:val="00891334"/>
    <w:rsid w:val="008A3568"/>
    <w:rsid w:val="008D03B9"/>
    <w:rsid w:val="008F18D6"/>
    <w:rsid w:val="00904780"/>
    <w:rsid w:val="009113A8"/>
    <w:rsid w:val="00922385"/>
    <w:rsid w:val="009223DF"/>
    <w:rsid w:val="00936091"/>
    <w:rsid w:val="00940D8A"/>
    <w:rsid w:val="00962258"/>
    <w:rsid w:val="009678B7"/>
    <w:rsid w:val="00982411"/>
    <w:rsid w:val="00992D9C"/>
    <w:rsid w:val="00996CB8"/>
    <w:rsid w:val="009A7568"/>
    <w:rsid w:val="009B2E97"/>
    <w:rsid w:val="009B3C69"/>
    <w:rsid w:val="009B72CC"/>
    <w:rsid w:val="009E07F4"/>
    <w:rsid w:val="009F392E"/>
    <w:rsid w:val="00A44328"/>
    <w:rsid w:val="00A6177B"/>
    <w:rsid w:val="00A66136"/>
    <w:rsid w:val="00A854CD"/>
    <w:rsid w:val="00AA4CBB"/>
    <w:rsid w:val="00AA65FA"/>
    <w:rsid w:val="00AA7351"/>
    <w:rsid w:val="00AD056F"/>
    <w:rsid w:val="00AD2773"/>
    <w:rsid w:val="00AD6731"/>
    <w:rsid w:val="00AE1DDE"/>
    <w:rsid w:val="00B15B5E"/>
    <w:rsid w:val="00B15D0D"/>
    <w:rsid w:val="00B23CA3"/>
    <w:rsid w:val="00B33CC2"/>
    <w:rsid w:val="00B3491A"/>
    <w:rsid w:val="00B45E9E"/>
    <w:rsid w:val="00B55F9C"/>
    <w:rsid w:val="00B652D1"/>
    <w:rsid w:val="00B727C5"/>
    <w:rsid w:val="00B75EE1"/>
    <w:rsid w:val="00B77481"/>
    <w:rsid w:val="00B8518B"/>
    <w:rsid w:val="00BB3740"/>
    <w:rsid w:val="00BD5319"/>
    <w:rsid w:val="00BD7E91"/>
    <w:rsid w:val="00BF374D"/>
    <w:rsid w:val="00BF6D48"/>
    <w:rsid w:val="00C02D0A"/>
    <w:rsid w:val="00C03A6E"/>
    <w:rsid w:val="00C30759"/>
    <w:rsid w:val="00C44F6A"/>
    <w:rsid w:val="00C727E5"/>
    <w:rsid w:val="00C8207D"/>
    <w:rsid w:val="00CA3AC2"/>
    <w:rsid w:val="00CB596B"/>
    <w:rsid w:val="00CB597A"/>
    <w:rsid w:val="00CB7B5A"/>
    <w:rsid w:val="00CC1E2B"/>
    <w:rsid w:val="00CD1FC4"/>
    <w:rsid w:val="00CE371D"/>
    <w:rsid w:val="00D02A4D"/>
    <w:rsid w:val="00D21061"/>
    <w:rsid w:val="00D316A7"/>
    <w:rsid w:val="00D4108E"/>
    <w:rsid w:val="00D6163D"/>
    <w:rsid w:val="00D63009"/>
    <w:rsid w:val="00D636A0"/>
    <w:rsid w:val="00D831A3"/>
    <w:rsid w:val="00D902AD"/>
    <w:rsid w:val="00DA6FFE"/>
    <w:rsid w:val="00DA7B54"/>
    <w:rsid w:val="00DC3110"/>
    <w:rsid w:val="00DD46F3"/>
    <w:rsid w:val="00DD58A6"/>
    <w:rsid w:val="00DE56F2"/>
    <w:rsid w:val="00DF116D"/>
    <w:rsid w:val="00E10710"/>
    <w:rsid w:val="00E824F1"/>
    <w:rsid w:val="00EB104F"/>
    <w:rsid w:val="00ED14BD"/>
    <w:rsid w:val="00F01440"/>
    <w:rsid w:val="00F12DEC"/>
    <w:rsid w:val="00F1715C"/>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 1,cp_Odstavec se seznamem,Bullet Number,Bullet List,FooterText,numbered,Paragraphe de liste1,Bulletr List Paragraph,列出段落,列出段落1,List Paragraph21,Listeafsnit1,Parágrafo da Lista1,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semiHidden/>
    <w:unhideWhenUsed/>
    <w:rsid w:val="00273528"/>
    <w:rPr>
      <w:rFonts w:ascii="Times New Roman" w:hAnsi="Times New Roman" w:cs="Times New Roman" w:hint="default"/>
      <w:vertAlign w:val="superscript"/>
    </w:rPr>
  </w:style>
  <w:style w:type="character" w:customStyle="1" w:styleId="OdstavecseseznamemChar">
    <w:name w:val="Odstavec se seznamem Char"/>
    <w:aliases w:val="Odstavec 1 Char,cp_Odstavec se seznamem Char,Bullet Number Char,Bullet List Char,FooterText Char,numbered Char,Paragraphe de liste1 Char,Bulletr List Paragraph Char,列出段落 Char,列出段落1 Char,List Paragraph21 Char,Listeafsnit1 Char"/>
    <w:link w:val="Odstavecseseznamem"/>
    <w:uiPriority w:val="34"/>
    <w:locked/>
    <w:rsid w:val="005F19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17272850">
      <w:bodyDiv w:val="1"/>
      <w:marLeft w:val="0"/>
      <w:marRight w:val="0"/>
      <w:marTop w:val="0"/>
      <w:marBottom w:val="0"/>
      <w:divBdr>
        <w:top w:val="none" w:sz="0" w:space="0" w:color="auto"/>
        <w:left w:val="none" w:sz="0" w:space="0" w:color="auto"/>
        <w:bottom w:val="none" w:sz="0" w:space="0" w:color="auto"/>
        <w:right w:val="none" w:sz="0" w:space="0" w:color="auto"/>
      </w:divBdr>
    </w:div>
    <w:div w:id="926688879">
      <w:bodyDiv w:val="1"/>
      <w:marLeft w:val="0"/>
      <w:marRight w:val="0"/>
      <w:marTop w:val="0"/>
      <w:marBottom w:val="0"/>
      <w:divBdr>
        <w:top w:val="none" w:sz="0" w:space="0" w:color="auto"/>
        <w:left w:val="none" w:sz="0" w:space="0" w:color="auto"/>
        <w:bottom w:val="none" w:sz="0" w:space="0" w:color="auto"/>
        <w:right w:val="none" w:sz="0" w:space="0" w:color="auto"/>
      </w:divBdr>
    </w:div>
    <w:div w:id="11073821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06240405">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C98AA55A-3AF9-44AF-B37C-9CB358A59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90</TotalTime>
  <Pages>3</Pages>
  <Words>1212</Words>
  <Characters>7156</Characters>
  <Application>Microsoft Office Word</Application>
  <DocSecurity>0</DocSecurity>
  <Lines>59</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22</cp:revision>
  <cp:lastPrinted>2020-05-19T07:21:00Z</cp:lastPrinted>
  <dcterms:created xsi:type="dcterms:W3CDTF">2020-01-24T13:38:00Z</dcterms:created>
  <dcterms:modified xsi:type="dcterms:W3CDTF">2020-05-19T07:28:00Z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