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6A04F4" w:rsidP="0077673A">
            <w:r>
              <w:rPr>
                <w:noProof/>
                <w:lang w:eastAsia="cs-CZ"/>
              </w:rPr>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CB597A" w:rsidRDefault="00CB597A" w:rsidP="0037111D">
                        <w:pPr>
                          <w:pStyle w:val="Bezmezer"/>
                          <w:rPr>
                            <w:b/>
                          </w:rPr>
                        </w:pPr>
                        <w:r>
                          <w:rPr>
                            <w:b/>
                          </w:rPr>
                          <w:t>Uveřejněno na profilu zadavatele</w:t>
                        </w:r>
                      </w:p>
                    </w:txbxContent>
                  </v:textbox>
                  <w10:wrap anchorx="page" anchory="page"/>
                  <w10:anchorlock/>
                </v:shape>
              </w:pic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3E6B9A" w:rsidRDefault="00F862D6" w:rsidP="0077673A">
            <w:r w:rsidRPr="003E6B9A">
              <w:t>Naše zn.</w:t>
            </w:r>
          </w:p>
        </w:tc>
        <w:tc>
          <w:tcPr>
            <w:tcW w:w="2552" w:type="dxa"/>
          </w:tcPr>
          <w:p w:rsidR="00F862D6" w:rsidRPr="003E6B9A" w:rsidRDefault="00273528" w:rsidP="0037111D">
            <w:r w:rsidRPr="00273528">
              <w:rPr>
                <w:rFonts w:ascii="Helvetica" w:hAnsi="Helvetica"/>
              </w:rPr>
              <w:t>4031/2020-SŽ-SSV-Ú3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Pr="00C7010B" w:rsidRDefault="00F862D6" w:rsidP="0077673A">
            <w:r w:rsidRPr="00C7010B">
              <w:t>Listů/příloh</w:t>
            </w:r>
          </w:p>
        </w:tc>
        <w:tc>
          <w:tcPr>
            <w:tcW w:w="2552" w:type="dxa"/>
          </w:tcPr>
          <w:p w:rsidR="00F862D6" w:rsidRPr="00C7010B" w:rsidRDefault="00C7010B" w:rsidP="00273528">
            <w:r w:rsidRPr="00C7010B">
              <w:t>4</w:t>
            </w:r>
            <w:r w:rsidR="003E6B9A" w:rsidRPr="00C7010B">
              <w:t>/</w:t>
            </w:r>
            <w:r w:rsidR="00273528" w:rsidRPr="00C7010B">
              <w:t>0</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Default="00F862D6" w:rsidP="0077673A"/>
        </w:tc>
        <w:tc>
          <w:tcPr>
            <w:tcW w:w="2552" w:type="dxa"/>
          </w:tcPr>
          <w:p w:rsidR="00F862D6" w:rsidRPr="003E6B9A"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Pr="003E6B9A" w:rsidRDefault="00CB596B" w:rsidP="00FE3455">
            <w:r>
              <w:t>Renáta Majerová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Pr="003E6B9A" w:rsidRDefault="00CB596B" w:rsidP="009A7568">
            <w:r>
              <w:t>+420 724 932 325</w:t>
            </w:r>
          </w:p>
        </w:tc>
        <w:tc>
          <w:tcPr>
            <w:tcW w:w="823" w:type="dxa"/>
          </w:tcPr>
          <w:p w:rsidR="009A7568" w:rsidRDefault="009A7568" w:rsidP="009A7568"/>
        </w:tc>
        <w:tc>
          <w:tcPr>
            <w:tcW w:w="3685" w:type="dxa"/>
            <w:vMerge/>
          </w:tcPr>
          <w:p w:rsidR="009A7568" w:rsidRDefault="009A7568" w:rsidP="009A7568"/>
        </w:tc>
      </w:tr>
      <w:tr w:rsidR="009A7568" w:rsidTr="00DA7B54">
        <w:trPr>
          <w:trHeight w:val="200"/>
        </w:trPr>
        <w:tc>
          <w:tcPr>
            <w:tcW w:w="1020" w:type="dxa"/>
          </w:tcPr>
          <w:p w:rsidR="009A7568" w:rsidRDefault="009A7568" w:rsidP="009A7568">
            <w:r>
              <w:t>E-mail</w:t>
            </w:r>
          </w:p>
        </w:tc>
        <w:tc>
          <w:tcPr>
            <w:tcW w:w="2552" w:type="dxa"/>
          </w:tcPr>
          <w:p w:rsidR="009A7568" w:rsidRPr="003E6B9A" w:rsidRDefault="00CB596B" w:rsidP="006104F6">
            <w:r>
              <w:t>Majerova@szdc.cz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bookmarkStart w:id="0" w:name="Datum"/>
        <w:tc>
          <w:tcPr>
            <w:tcW w:w="2552" w:type="dxa"/>
          </w:tcPr>
          <w:p w:rsidR="009A7568" w:rsidRPr="003E6B9A" w:rsidRDefault="000A4628" w:rsidP="00273528">
            <w:r w:rsidRPr="00814739">
              <w:fldChar w:fldCharType="begin"/>
            </w:r>
            <w:r w:rsidR="009A7568" w:rsidRPr="00814739">
              <w:instrText xml:space="preserve"> DATE  \@ "d. MMMM yyyy"  \* MERGEFORMAT </w:instrText>
            </w:r>
            <w:r w:rsidRPr="00814739">
              <w:fldChar w:fldCharType="separate"/>
            </w:r>
            <w:r w:rsidR="00C7010B">
              <w:rPr>
                <w:noProof/>
              </w:rPr>
              <w:t>18. května 2020</w:t>
            </w:r>
            <w:r w:rsidRPr="00814739">
              <w:fldChar w:fldCharType="end"/>
            </w:r>
            <w:r w:rsidR="009A7568" w:rsidRPr="003E6B9A">
              <w:t xml:space="preserve"> </w:t>
            </w:r>
            <w:bookmarkEnd w:id="0"/>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CB596B" w:rsidRPr="00CB596B">
        <w:rPr>
          <w:rFonts w:eastAsia="Calibri" w:cs="Times New Roman"/>
          <w:b/>
          <w:lang w:eastAsia="cs-CZ"/>
        </w:rPr>
        <w:t>Výstavba TNS Stéblová</w:t>
      </w:r>
      <w:bookmarkStart w:id="1" w:name="_GoBack"/>
      <w:bookmarkEnd w:id="1"/>
    </w:p>
    <w:p w:rsidR="00CB7B5A" w:rsidRPr="00BD5319" w:rsidRDefault="00CB7B5A" w:rsidP="00CB7B5A">
      <w:pPr>
        <w:spacing w:after="0" w:line="240" w:lineRule="auto"/>
        <w:rPr>
          <w:rFonts w:eastAsia="Calibri" w:cs="Times New Roman"/>
          <w:b/>
          <w:bCs/>
          <w:lang w:eastAsia="cs-CZ"/>
        </w:rPr>
      </w:pPr>
      <w:r w:rsidRPr="00CB596B">
        <w:rPr>
          <w:rFonts w:eastAsia="Calibri" w:cs="Times New Roman"/>
          <w:lang w:eastAsia="cs-CZ"/>
        </w:rPr>
        <w:t xml:space="preserve">Vysvětlení/ změna/ doplnění zadávací </w:t>
      </w:r>
      <w:r w:rsidRPr="00CB7B5A">
        <w:rPr>
          <w:rFonts w:eastAsia="Calibri" w:cs="Times New Roman"/>
          <w:lang w:eastAsia="cs-CZ"/>
        </w:rPr>
        <w:t xml:space="preserve">dokumentace č. </w:t>
      </w:r>
      <w:r w:rsidR="00273528">
        <w:rPr>
          <w:rFonts w:eastAsia="Calibri" w:cs="Times New Roman"/>
          <w:lang w:eastAsia="cs-CZ"/>
        </w:rPr>
        <w:t>3</w:t>
      </w:r>
      <w:r w:rsidR="000A4628" w:rsidRPr="00CB7B5A">
        <w:rPr>
          <w:rFonts w:eastAsia="Times New Roman" w:cs="Times New Roman"/>
          <w:lang w:eastAsia="cs-CZ"/>
        </w:rPr>
        <w:fldChar w:fldCharType="begin">
          <w:ffData>
            <w:name w:val="Text1"/>
            <w:enabled/>
            <w:calcOnExit w:val="0"/>
            <w:textInput>
              <w:type w:val="date"/>
              <w:format w:val="d.M.yyyy"/>
            </w:textInput>
          </w:ffData>
        </w:fldChar>
      </w:r>
      <w:r w:rsidRPr="00CB7B5A">
        <w:rPr>
          <w:rFonts w:eastAsia="Times New Roman" w:cs="Times New Roman"/>
          <w:lang w:eastAsia="cs-CZ"/>
        </w:rPr>
        <w:instrText xml:space="preserve"> FORMTEXT </w:instrText>
      </w:r>
      <w:r w:rsidR="000A4628" w:rsidRPr="00CB7B5A">
        <w:rPr>
          <w:rFonts w:eastAsia="Times New Roman" w:cs="Times New Roman"/>
          <w:lang w:eastAsia="cs-CZ"/>
        </w:rPr>
      </w:r>
      <w:r w:rsidR="000A4628" w:rsidRPr="00CB7B5A">
        <w:rPr>
          <w:rFonts w:eastAsia="Times New Roman" w:cs="Times New Roman"/>
          <w:lang w:eastAsia="cs-CZ"/>
        </w:rPr>
        <w:fldChar w:fldCharType="separate"/>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000A4628" w:rsidRPr="00CB7B5A">
        <w:rPr>
          <w:rFonts w:eastAsia="Times New Roman" w:cs="Times New Roman"/>
          <w:lang w:eastAsia="cs-CZ"/>
        </w:rPr>
        <w:fldChar w:fldCharType="end"/>
      </w:r>
      <w:r w:rsidRPr="00CB7B5A">
        <w:rPr>
          <w:rFonts w:eastAsia="Calibri" w:cs="Times New Roman"/>
          <w:lang w:eastAsia="cs-CZ"/>
        </w:rPr>
        <w:t xml:space="preserve"> </w:t>
      </w:r>
    </w:p>
    <w:p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rsidR="00BD5319" w:rsidRPr="00BD5319" w:rsidRDefault="00BD5319" w:rsidP="00BD5319">
      <w:pPr>
        <w:spacing w:after="0" w:line="240" w:lineRule="auto"/>
        <w:rPr>
          <w:rFonts w:eastAsia="Calibri" w:cs="Times New Roman"/>
          <w:b/>
          <w:lang w:eastAsia="cs-CZ"/>
        </w:rPr>
      </w:pPr>
    </w:p>
    <w:p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273528">
        <w:rPr>
          <w:rFonts w:eastAsia="Calibri" w:cs="Times New Roman"/>
          <w:b/>
          <w:lang w:eastAsia="cs-CZ"/>
        </w:rPr>
        <w:t>7</w:t>
      </w:r>
      <w:r w:rsidRPr="00BD5319">
        <w:rPr>
          <w:rFonts w:eastAsia="Calibri" w:cs="Times New Roman"/>
          <w:b/>
          <w:lang w:eastAsia="cs-CZ"/>
        </w:rPr>
        <w:t>:</w:t>
      </w:r>
    </w:p>
    <w:p w:rsidR="00273528" w:rsidRPr="00273528" w:rsidRDefault="00273528" w:rsidP="00273528">
      <w:pPr>
        <w:spacing w:after="0" w:line="240" w:lineRule="auto"/>
        <w:rPr>
          <w:rFonts w:eastAsia="Calibri" w:cs="Times New Roman"/>
          <w:lang w:eastAsia="cs-CZ"/>
        </w:rPr>
      </w:pPr>
      <w:r w:rsidRPr="00273528">
        <w:rPr>
          <w:rFonts w:eastAsia="Calibri" w:cs="Times New Roman"/>
          <w:lang w:eastAsia="cs-CZ"/>
        </w:rPr>
        <w:t xml:space="preserve">Zadavatel Správa železnic, státní organizace, se sídlem Dlážděná 1003/7, Praha 1, Nové Město, PSČ 110 00, IČO: 70994234 (dále jen </w:t>
      </w:r>
      <w:r w:rsidRPr="00273528">
        <w:rPr>
          <w:rFonts w:eastAsia="Calibri" w:cs="Times New Roman"/>
          <w:b/>
          <w:bCs/>
          <w:i/>
          <w:iCs/>
          <w:lang w:eastAsia="cs-CZ"/>
        </w:rPr>
        <w:t>„</w:t>
      </w:r>
      <w:r w:rsidRPr="00273528">
        <w:rPr>
          <w:rFonts w:eastAsia="Calibri" w:cs="Times New Roman"/>
          <w:b/>
          <w:bCs/>
          <w:lang w:eastAsia="cs-CZ"/>
        </w:rPr>
        <w:t>zadavatel</w:t>
      </w:r>
      <w:r w:rsidRPr="00273528">
        <w:rPr>
          <w:rFonts w:eastAsia="Calibri" w:cs="Times New Roman"/>
          <w:b/>
          <w:bCs/>
          <w:i/>
          <w:iCs/>
          <w:lang w:eastAsia="cs-CZ"/>
        </w:rPr>
        <w:t>“</w:t>
      </w:r>
      <w:r w:rsidRPr="00273528">
        <w:rPr>
          <w:rFonts w:eastAsia="Calibri" w:cs="Times New Roman"/>
          <w:lang w:eastAsia="cs-CZ"/>
        </w:rPr>
        <w:t xml:space="preserve">) zahájil dne 23. 4. 2020 odesláním Oznámení o zahájení zadávacího řízení k uveřejnění do Věstníku veřejných zakázek zadávací řízení na zadání veřejné zakázky s názvem </w:t>
      </w:r>
      <w:r w:rsidRPr="00273528">
        <w:rPr>
          <w:rFonts w:eastAsia="Calibri" w:cs="Times New Roman"/>
          <w:i/>
          <w:iCs/>
          <w:lang w:eastAsia="cs-CZ"/>
        </w:rPr>
        <w:t>„Výstavba TNS Stéblová“</w:t>
      </w:r>
      <w:r w:rsidRPr="00273528">
        <w:rPr>
          <w:rFonts w:eastAsia="Calibri" w:cs="Times New Roman"/>
          <w:lang w:eastAsia="cs-CZ"/>
        </w:rPr>
        <w:t xml:space="preserve"> (dále jen </w:t>
      </w:r>
      <w:r w:rsidRPr="00273528">
        <w:rPr>
          <w:rFonts w:eastAsia="Calibri" w:cs="Times New Roman"/>
          <w:b/>
          <w:bCs/>
          <w:lang w:eastAsia="cs-CZ"/>
        </w:rPr>
        <w:t>„zadávací řízení“</w:t>
      </w:r>
      <w:r w:rsidRPr="00273528">
        <w:rPr>
          <w:rFonts w:eastAsia="Calibri" w:cs="Times New Roman"/>
          <w:lang w:eastAsia="cs-CZ"/>
        </w:rPr>
        <w:t xml:space="preserve"> a </w:t>
      </w:r>
      <w:r w:rsidRPr="00273528">
        <w:rPr>
          <w:rFonts w:eastAsia="Calibri" w:cs="Times New Roman"/>
          <w:b/>
          <w:bCs/>
          <w:lang w:eastAsia="cs-CZ"/>
        </w:rPr>
        <w:t>„veřejná zakázka“</w:t>
      </w:r>
      <w:r w:rsidRPr="00273528">
        <w:rPr>
          <w:rFonts w:eastAsia="Calibri" w:cs="Times New Roman"/>
          <w:lang w:eastAsia="cs-CZ"/>
        </w:rPr>
        <w:t>).</w:t>
      </w:r>
    </w:p>
    <w:p w:rsidR="00273528" w:rsidRPr="00273528" w:rsidRDefault="00273528" w:rsidP="00273528">
      <w:pPr>
        <w:spacing w:after="0" w:line="240" w:lineRule="auto"/>
        <w:rPr>
          <w:rFonts w:eastAsia="Calibri" w:cs="Times New Roman"/>
          <w:lang w:eastAsia="cs-CZ"/>
        </w:rPr>
      </w:pPr>
      <w:r w:rsidRPr="00273528">
        <w:rPr>
          <w:rFonts w:eastAsia="Calibri" w:cs="Times New Roman"/>
          <w:lang w:eastAsia="cs-CZ"/>
        </w:rPr>
        <w:t xml:space="preserve">Dodavatel tímto ve lhůtě dle § 98 odst. 3 zákona č. 134/2016 Sb., o zadávání veřejných zakázek, ve znění pozdějších předpisů (dále jen </w:t>
      </w:r>
      <w:r w:rsidRPr="00273528">
        <w:rPr>
          <w:rFonts w:eastAsia="Calibri" w:cs="Times New Roman"/>
          <w:b/>
          <w:bCs/>
          <w:lang w:eastAsia="cs-CZ"/>
        </w:rPr>
        <w:t>„ZZVZ</w:t>
      </w:r>
      <w:r w:rsidRPr="00273528">
        <w:rPr>
          <w:rFonts w:eastAsia="Calibri" w:cs="Times New Roman"/>
          <w:b/>
          <w:bCs/>
          <w:i/>
          <w:iCs/>
          <w:lang w:eastAsia="cs-CZ"/>
        </w:rPr>
        <w:t>“</w:t>
      </w:r>
      <w:r w:rsidRPr="00273528">
        <w:rPr>
          <w:rFonts w:eastAsia="Calibri" w:cs="Times New Roman"/>
          <w:lang w:eastAsia="cs-CZ"/>
        </w:rPr>
        <w:t>)</w:t>
      </w:r>
      <w:r w:rsidRPr="00273528">
        <w:rPr>
          <w:rFonts w:eastAsia="Calibri" w:cs="Times New Roman"/>
          <w:b/>
          <w:bCs/>
          <w:i/>
          <w:iCs/>
          <w:lang w:eastAsia="cs-CZ"/>
        </w:rPr>
        <w:t xml:space="preserve"> </w:t>
      </w:r>
      <w:r w:rsidRPr="00273528">
        <w:rPr>
          <w:rFonts w:eastAsia="Calibri" w:cs="Times New Roman"/>
          <w:lang w:eastAsia="cs-CZ"/>
        </w:rPr>
        <w:t>žádá</w:t>
      </w:r>
      <w:r w:rsidRPr="00273528">
        <w:rPr>
          <w:rFonts w:eastAsia="Calibri" w:cs="Times New Roman"/>
          <w:b/>
          <w:bCs/>
          <w:i/>
          <w:iCs/>
          <w:lang w:eastAsia="cs-CZ"/>
        </w:rPr>
        <w:t xml:space="preserve"> </w:t>
      </w:r>
      <w:r w:rsidRPr="00273528">
        <w:rPr>
          <w:rFonts w:eastAsia="Calibri" w:cs="Times New Roman"/>
          <w:lang w:eastAsia="cs-CZ"/>
        </w:rPr>
        <w:t>zadavatele o vysvětlení zadávací dokumentace veřejné zakázky.</w:t>
      </w:r>
    </w:p>
    <w:p w:rsidR="00273528" w:rsidRPr="00273528" w:rsidRDefault="00273528" w:rsidP="00273528">
      <w:pPr>
        <w:spacing w:after="0" w:line="240" w:lineRule="auto"/>
        <w:rPr>
          <w:rFonts w:eastAsia="Calibri" w:cs="Times New Roman"/>
          <w:lang w:eastAsia="cs-CZ"/>
        </w:rPr>
      </w:pPr>
      <w:r w:rsidRPr="00273528">
        <w:rPr>
          <w:rFonts w:eastAsia="Calibri" w:cs="Times New Roman"/>
          <w:lang w:eastAsia="cs-CZ"/>
        </w:rPr>
        <w:t xml:space="preserve">Zadavatel v čl. 9.1 dokumentu s označením Díl 1 Požadavky a podmínky pro zpracování nabídky část 2 Pokyny pro dodavatele (dále jen </w:t>
      </w:r>
      <w:r w:rsidRPr="00273528">
        <w:rPr>
          <w:rFonts w:eastAsia="Calibri" w:cs="Times New Roman"/>
          <w:b/>
          <w:bCs/>
          <w:i/>
          <w:iCs/>
          <w:lang w:eastAsia="cs-CZ"/>
        </w:rPr>
        <w:t>„</w:t>
      </w:r>
      <w:r w:rsidRPr="00273528">
        <w:rPr>
          <w:rFonts w:eastAsia="Calibri" w:cs="Times New Roman"/>
          <w:b/>
          <w:bCs/>
          <w:lang w:eastAsia="cs-CZ"/>
        </w:rPr>
        <w:t>ZD</w:t>
      </w:r>
      <w:r w:rsidRPr="00273528">
        <w:rPr>
          <w:rFonts w:eastAsia="Calibri" w:cs="Times New Roman"/>
          <w:b/>
          <w:bCs/>
          <w:i/>
          <w:iCs/>
          <w:lang w:eastAsia="cs-CZ"/>
        </w:rPr>
        <w:t>“</w:t>
      </w:r>
      <w:r w:rsidRPr="00273528">
        <w:rPr>
          <w:rFonts w:eastAsia="Calibri" w:cs="Times New Roman"/>
          <w:lang w:eastAsia="cs-CZ"/>
        </w:rPr>
        <w:t>), uvedl, že součástí nabídky dodavatelů musí být mj. specifikace typu zařízení elektrotechniky a energetiky, které bude dodavatelem určeno k použití pro plnění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(dále jen „</w:t>
      </w:r>
      <w:r w:rsidRPr="00273528">
        <w:rPr>
          <w:rFonts w:eastAsia="Calibri" w:cs="Times New Roman"/>
          <w:b/>
          <w:bCs/>
          <w:lang w:eastAsia="cs-CZ"/>
        </w:rPr>
        <w:t>Směrnice SŽDC</w:t>
      </w:r>
      <w:r w:rsidRPr="00273528">
        <w:rPr>
          <w:rFonts w:eastAsia="Calibri" w:cs="Times New Roman"/>
          <w:lang w:eastAsia="cs-CZ"/>
        </w:rPr>
        <w:t xml:space="preserve">“). Zadavatel dále uvedl, že za podmínky, kdy dodavatel nebude současně i výrobcem nebo dodavatelem takto určeného zařízení elektrotechniky a energetiky, předloží dodavatel kopii smlouvy uzavřené s výrobcem nebo dodavatelem tohoto zařízení elektrotechniky a energetiky, kterou prokáže, že bude mít toto zařízení elektrotechniky a energetiky k jeho použití pro plnění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Zadavatel uvedl, že specifikace typu, případně smlouva s výrobcem nebo dodavatelem, bude požadována pro následující zařízení: </w:t>
      </w:r>
    </w:p>
    <w:p w:rsidR="00273528" w:rsidRPr="00273528" w:rsidRDefault="00273528" w:rsidP="00273528">
      <w:pPr>
        <w:spacing w:after="0" w:line="240" w:lineRule="auto"/>
        <w:rPr>
          <w:rFonts w:eastAsia="Calibri" w:cs="Times New Roman"/>
          <w:i/>
          <w:iCs/>
          <w:lang w:eastAsia="cs-CZ"/>
        </w:rPr>
      </w:pPr>
      <w:r w:rsidRPr="00273528">
        <w:rPr>
          <w:rFonts w:eastAsia="Calibri" w:cs="Times New Roman"/>
          <w:i/>
          <w:iCs/>
          <w:lang w:eastAsia="cs-CZ"/>
        </w:rPr>
        <w:t xml:space="preserve">technologie rozvodny 110 </w:t>
      </w:r>
      <w:proofErr w:type="spellStart"/>
      <w:r w:rsidRPr="00273528">
        <w:rPr>
          <w:rFonts w:eastAsia="Calibri" w:cs="Times New Roman"/>
          <w:i/>
          <w:iCs/>
          <w:lang w:eastAsia="cs-CZ"/>
        </w:rPr>
        <w:t>kV</w:t>
      </w:r>
      <w:proofErr w:type="spellEnd"/>
      <w:r w:rsidRPr="00273528">
        <w:rPr>
          <w:rFonts w:eastAsia="Calibri" w:cs="Times New Roman"/>
          <w:i/>
          <w:iCs/>
          <w:lang w:eastAsia="cs-CZ"/>
        </w:rPr>
        <w:t xml:space="preserve">, transformátory 110 </w:t>
      </w:r>
      <w:proofErr w:type="spellStart"/>
      <w:r w:rsidRPr="00273528">
        <w:rPr>
          <w:rFonts w:eastAsia="Calibri" w:cs="Times New Roman"/>
          <w:i/>
          <w:iCs/>
          <w:lang w:eastAsia="cs-CZ"/>
        </w:rPr>
        <w:t>kV</w:t>
      </w:r>
      <w:proofErr w:type="spellEnd"/>
      <w:r w:rsidRPr="00273528">
        <w:rPr>
          <w:rFonts w:eastAsia="Calibri" w:cs="Times New Roman"/>
          <w:i/>
          <w:iCs/>
          <w:lang w:eastAsia="cs-CZ"/>
        </w:rPr>
        <w:t xml:space="preserve">, mobilní napájecí stanice DC 3 </w:t>
      </w:r>
      <w:proofErr w:type="spellStart"/>
      <w:r w:rsidRPr="00273528">
        <w:rPr>
          <w:rFonts w:eastAsia="Calibri" w:cs="Times New Roman"/>
          <w:i/>
          <w:iCs/>
          <w:lang w:eastAsia="cs-CZ"/>
        </w:rPr>
        <w:t>kV</w:t>
      </w:r>
      <w:proofErr w:type="spellEnd"/>
      <w:r w:rsidRPr="00273528">
        <w:rPr>
          <w:rFonts w:eastAsia="Calibri" w:cs="Times New Roman"/>
          <w:i/>
          <w:iCs/>
          <w:lang w:eastAsia="cs-CZ"/>
        </w:rPr>
        <w:t xml:space="preserve">, 5 – 6 MVA – musí mít schválené trvalé technické podmínky pro použití na drahách Správy železnic – dodávka a uvedení do provozu </w:t>
      </w:r>
      <w:r w:rsidRPr="00273528">
        <w:rPr>
          <w:rFonts w:eastAsia="Calibri" w:cs="Times New Roman"/>
          <w:lang w:eastAsia="cs-CZ"/>
        </w:rPr>
        <w:t>(dále jen „</w:t>
      </w:r>
      <w:r w:rsidRPr="00273528">
        <w:rPr>
          <w:rFonts w:eastAsia="Calibri" w:cs="Times New Roman"/>
          <w:b/>
          <w:bCs/>
          <w:lang w:eastAsia="cs-CZ"/>
        </w:rPr>
        <w:t>zařízení</w:t>
      </w:r>
      <w:r w:rsidRPr="00273528">
        <w:rPr>
          <w:rFonts w:eastAsia="Calibri" w:cs="Times New Roman"/>
          <w:lang w:eastAsia="cs-CZ"/>
        </w:rPr>
        <w:t>“).</w:t>
      </w:r>
      <w:r w:rsidRPr="00273528">
        <w:rPr>
          <w:rFonts w:eastAsia="Calibri" w:cs="Times New Roman"/>
          <w:i/>
          <w:iCs/>
          <w:lang w:eastAsia="cs-CZ"/>
        </w:rPr>
        <w:t xml:space="preserve">  </w:t>
      </w:r>
    </w:p>
    <w:p w:rsidR="00273528" w:rsidRPr="00273528" w:rsidRDefault="00273528" w:rsidP="00273528">
      <w:pPr>
        <w:spacing w:after="0" w:line="240" w:lineRule="auto"/>
        <w:rPr>
          <w:rFonts w:eastAsia="Calibri" w:cs="Times New Roman"/>
          <w:lang w:eastAsia="cs-CZ"/>
        </w:rPr>
      </w:pPr>
    </w:p>
    <w:p w:rsidR="00273528" w:rsidRPr="00273528" w:rsidRDefault="00273528" w:rsidP="00273528">
      <w:pPr>
        <w:spacing w:after="0" w:line="240" w:lineRule="auto"/>
        <w:rPr>
          <w:rFonts w:eastAsia="Calibri" w:cs="Times New Roman"/>
          <w:lang w:eastAsia="cs-CZ"/>
        </w:rPr>
      </w:pPr>
      <w:r w:rsidRPr="00273528">
        <w:rPr>
          <w:rFonts w:eastAsia="Calibri" w:cs="Times New Roman"/>
          <w:lang w:eastAsia="cs-CZ"/>
        </w:rPr>
        <w:t xml:space="preserve">Tazatel nejprve poukazuje na § 36 odst. 1 ZZVZ, dle kterého platí, že zadávací podmínky nesmí být stanoveny tak, aby určitým dodavatelům bezdůvodně přímo nebo nepřímo zaručovaly konkurenční výhodu nebo vytvářely neodůvodněné překážky hospodářské soutěže. Součástí zadávacích podmínek jsou ve smyslu § 37 odst. 1 písm. b) ZZVZ rovněž technické podmínky, které představují požadavky na vlastnosti předmětu veřejné zakázky. Zadávací podmínky veřejné zakázky se vždy musí vztahovat k předmětu plnění veřejné zakázky a musí být stanoveny v souladu se zásadami dle § 6 ZZVZ, tedy nesmí být vymezeny tak, aby zásadním způsobem omezovaly okruh potenciálních dodavatelů veřejné zakázky jen na konkrétní a předem určené subjekty, čímž by fakticky vylučovaly jakoukoli reálnou soutěž o veřejnou zakázku. </w:t>
      </w:r>
    </w:p>
    <w:p w:rsidR="006A04F4" w:rsidRDefault="006A04F4" w:rsidP="00273528">
      <w:pPr>
        <w:spacing w:after="0" w:line="240" w:lineRule="auto"/>
        <w:rPr>
          <w:rFonts w:eastAsia="Calibri" w:cs="Times New Roman"/>
          <w:lang w:eastAsia="cs-CZ"/>
        </w:rPr>
      </w:pPr>
    </w:p>
    <w:p w:rsidR="00273528" w:rsidRPr="00273528" w:rsidRDefault="00273528" w:rsidP="00273528">
      <w:pPr>
        <w:spacing w:after="0" w:line="240" w:lineRule="auto"/>
        <w:rPr>
          <w:rFonts w:eastAsia="Calibri" w:cs="Times New Roman"/>
          <w:lang w:eastAsia="cs-CZ"/>
        </w:rPr>
      </w:pPr>
      <w:r w:rsidRPr="00273528">
        <w:rPr>
          <w:rFonts w:eastAsia="Calibri" w:cs="Times New Roman"/>
          <w:lang w:eastAsia="cs-CZ"/>
        </w:rPr>
        <w:lastRenderedPageBreak/>
        <w:t xml:space="preserve">Tazatel je přesvědčen, že </w:t>
      </w:r>
      <w:r w:rsidRPr="00273528">
        <w:rPr>
          <w:rFonts w:eastAsia="Calibri" w:cs="Times New Roman"/>
          <w:u w:val="single"/>
          <w:lang w:eastAsia="cs-CZ"/>
        </w:rPr>
        <w:t xml:space="preserve">výše uvedeným požadavkům ZZVZ zadavatel nedostál, když vymezil zadávací podmínky veřejné zakázky takovým způsobem, že dílčí plnění předmětu veřejné zakázky, a to konkrétně zařízení mobilní napájecí stanice DC 3 </w:t>
      </w:r>
      <w:proofErr w:type="spellStart"/>
      <w:r w:rsidRPr="00273528">
        <w:rPr>
          <w:rFonts w:eastAsia="Calibri" w:cs="Times New Roman"/>
          <w:u w:val="single"/>
          <w:lang w:eastAsia="cs-CZ"/>
        </w:rPr>
        <w:t>kV</w:t>
      </w:r>
      <w:proofErr w:type="spellEnd"/>
      <w:r w:rsidRPr="00273528">
        <w:rPr>
          <w:rFonts w:eastAsia="Calibri" w:cs="Times New Roman"/>
          <w:u w:val="single"/>
          <w:lang w:eastAsia="cs-CZ"/>
        </w:rPr>
        <w:t>, 5 - 6 MVA (dále jen „</w:t>
      </w:r>
      <w:r w:rsidRPr="00273528">
        <w:rPr>
          <w:rFonts w:eastAsia="Calibri" w:cs="Times New Roman"/>
          <w:b/>
          <w:bCs/>
          <w:u w:val="single"/>
          <w:lang w:eastAsia="cs-CZ"/>
        </w:rPr>
        <w:t>zařízení MNS</w:t>
      </w:r>
      <w:r w:rsidRPr="00273528">
        <w:rPr>
          <w:rFonts w:eastAsia="Calibri" w:cs="Times New Roman"/>
          <w:u w:val="single"/>
          <w:lang w:eastAsia="cs-CZ"/>
        </w:rPr>
        <w:t>“), může být fakticky realizováno pouze konkrétními výhradními dodavateli zadavatele</w:t>
      </w:r>
      <w:r w:rsidRPr="00273528">
        <w:rPr>
          <w:rFonts w:eastAsia="Calibri" w:cs="Times New Roman"/>
          <w:lang w:eastAsia="cs-CZ"/>
        </w:rPr>
        <w:t>. Dle tazateli dostupných informací zařízením MNS splňujícím požadavky Směrnice SŽDC disponují pouze dodavatelé OHL ŽS, a.s., ELEKTROTECHNIKA, a.s. a Elektrizace železnic Praha a.s.</w:t>
      </w:r>
    </w:p>
    <w:p w:rsidR="00273528" w:rsidRPr="00273528" w:rsidRDefault="00273528" w:rsidP="00273528">
      <w:pPr>
        <w:spacing w:after="0" w:line="240" w:lineRule="auto"/>
        <w:rPr>
          <w:rFonts w:eastAsia="Calibri" w:cs="Times New Roman"/>
          <w:lang w:eastAsia="cs-CZ"/>
        </w:rPr>
      </w:pPr>
    </w:p>
    <w:p w:rsidR="00273528" w:rsidRPr="00273528" w:rsidRDefault="00273528" w:rsidP="00273528">
      <w:pPr>
        <w:spacing w:after="0" w:line="240" w:lineRule="auto"/>
        <w:rPr>
          <w:rFonts w:eastAsia="Calibri" w:cs="Times New Roman"/>
          <w:lang w:eastAsia="cs-CZ"/>
        </w:rPr>
      </w:pPr>
      <w:r w:rsidRPr="00273528">
        <w:rPr>
          <w:rFonts w:eastAsia="Calibri" w:cs="Times New Roman"/>
          <w:lang w:eastAsia="cs-CZ"/>
        </w:rPr>
        <w:t>Tazatel má zájem zúčastnit se zadávacího řízení, a protože není výrobcem ani dodavatelem zařízení MNS, oslovil se žádostí o zpracování poddodavatelské nabídky všechny výše uvedené dodavatele, kteří fakticky jako jediní mohou realizovat předmětnou dílčí část zadávané veřejné zakázky. Tito monopolní dodavatelé však na žádost tazatele o spolupráci s ním nereagovali nebo výslovně odmítli s odůvodněním, že sami budou podávat nabídku.</w:t>
      </w:r>
    </w:p>
    <w:p w:rsidR="00273528" w:rsidRPr="00273528" w:rsidRDefault="00273528" w:rsidP="00273528">
      <w:pPr>
        <w:spacing w:after="0" w:line="240" w:lineRule="auto"/>
        <w:rPr>
          <w:rFonts w:eastAsia="Calibri" w:cs="Times New Roman"/>
          <w:lang w:eastAsia="cs-CZ"/>
        </w:rPr>
      </w:pPr>
    </w:p>
    <w:p w:rsidR="00273528" w:rsidRPr="00273528" w:rsidRDefault="00273528" w:rsidP="00273528">
      <w:pPr>
        <w:spacing w:after="0" w:line="240" w:lineRule="auto"/>
        <w:rPr>
          <w:rFonts w:eastAsia="Calibri" w:cs="Times New Roman"/>
          <w:lang w:eastAsia="cs-CZ"/>
        </w:rPr>
      </w:pPr>
      <w:r w:rsidRPr="00273528">
        <w:rPr>
          <w:rFonts w:eastAsia="Calibri" w:cs="Times New Roman"/>
          <w:lang w:eastAsia="cs-CZ"/>
        </w:rPr>
        <w:t xml:space="preserve">S ohledem na výše uvedené je tazatel přesvědčen, že postup zadavatele při specifikaci předmětu veřejné zakázky a zadávání veřejné zakázky není v souladu se ZZVZ a základními zásadami pro zadávání veřejných zakázek, zejména se zásadou rovného zacházení a zákazu diskriminace. </w:t>
      </w:r>
      <w:r w:rsidRPr="00273528">
        <w:rPr>
          <w:rFonts w:eastAsia="Calibri" w:cs="Times New Roman"/>
          <w:u w:val="single"/>
          <w:lang w:eastAsia="cs-CZ"/>
        </w:rPr>
        <w:t>Skutečnost, že zadavatel do předmětu veřejné zakázky zahrnul rovněž dílčí plnění, které může být realizováno výhradně určitými výhradními dodavateli, významným způsobem ovlivňuje okruh potencionálních dodavatelů, který je tímto způsobem uměle zúžen pouze na takové dodavatele, kterým budou výše uvedení výhradní dodavatelé na požadované plnění „ochotni“ dát poddodavatelskou nabídku</w:t>
      </w:r>
      <w:r w:rsidRPr="00273528">
        <w:rPr>
          <w:rFonts w:eastAsia="Calibri" w:cs="Times New Roman"/>
          <w:lang w:eastAsia="cs-CZ"/>
        </w:rPr>
        <w:t>; uvedený postup zadavatele rovněž podstatným způsobem deformuje trh a soutěž o veřejnou zakázku. Tito výhradní dodavatelé dílčí části veřejné zakázky tak fakticky rozhodují o konkrétních účastnících zadávacího řízení, a tím i o výběru nejvhodnější nabídky, což je nepřípustné.</w:t>
      </w:r>
    </w:p>
    <w:p w:rsidR="00273528" w:rsidRPr="00273528" w:rsidRDefault="00273528" w:rsidP="00273528">
      <w:pPr>
        <w:spacing w:after="0" w:line="240" w:lineRule="auto"/>
        <w:rPr>
          <w:rFonts w:eastAsia="Calibri" w:cs="Times New Roman"/>
          <w:lang w:eastAsia="cs-CZ"/>
        </w:rPr>
      </w:pPr>
    </w:p>
    <w:p w:rsidR="00273528" w:rsidRPr="00273528" w:rsidRDefault="00273528" w:rsidP="00273528">
      <w:pPr>
        <w:spacing w:after="0" w:line="240" w:lineRule="auto"/>
        <w:rPr>
          <w:rFonts w:eastAsia="Calibri" w:cs="Times New Roman"/>
          <w:lang w:eastAsia="cs-CZ"/>
        </w:rPr>
      </w:pPr>
      <w:r w:rsidRPr="00273528">
        <w:rPr>
          <w:rFonts w:eastAsia="Calibri" w:cs="Times New Roman"/>
          <w:lang w:eastAsia="cs-CZ"/>
        </w:rPr>
        <w:t>Tazatel dále poukazuje na skutečnost, že zadavatel v zadávacích podmínkách veřejné zakázky vyžaduje a podmiňuje realizaci stavby výhradně prostřednictvím výrobků, jejichž použití sám předem schválil postupem stanoveným ve svých interních předpisech, a to konkrétně ve Směrnici SŽDC. Tímto postupem zadavatel učinil Směrnici SŽDC, resp. pravidla v ní obsažená vztahují k výrobkům, která jsou součástí zařízení, závaznou pro realizaci předmětu plnění veřejné zakázky.</w:t>
      </w:r>
    </w:p>
    <w:p w:rsidR="00273528" w:rsidRPr="00273528" w:rsidRDefault="00273528" w:rsidP="00273528">
      <w:pPr>
        <w:spacing w:after="0" w:line="240" w:lineRule="auto"/>
        <w:rPr>
          <w:rFonts w:eastAsia="Calibri" w:cs="Times New Roman"/>
          <w:lang w:eastAsia="cs-CZ"/>
        </w:rPr>
      </w:pPr>
    </w:p>
    <w:p w:rsidR="00273528" w:rsidRPr="00273528" w:rsidRDefault="00273528" w:rsidP="00273528">
      <w:pPr>
        <w:spacing w:after="0" w:line="240" w:lineRule="auto"/>
        <w:rPr>
          <w:rFonts w:eastAsia="Calibri" w:cs="Times New Roman"/>
          <w:lang w:eastAsia="cs-CZ"/>
        </w:rPr>
      </w:pPr>
      <w:r w:rsidRPr="00273528">
        <w:rPr>
          <w:rFonts w:eastAsia="Calibri" w:cs="Times New Roman"/>
          <w:lang w:eastAsia="cs-CZ"/>
        </w:rPr>
        <w:t xml:space="preserve">Aby dodavatel ve své nabídce mohl nabídnout zařízení vyhovující požadavkům čl. 9.1 ZD, </w:t>
      </w:r>
      <w:proofErr w:type="gramStart"/>
      <w:r w:rsidRPr="00273528">
        <w:rPr>
          <w:rFonts w:eastAsia="Calibri" w:cs="Times New Roman"/>
          <w:lang w:eastAsia="cs-CZ"/>
        </w:rPr>
        <w:t>musí</w:t>
      </w:r>
      <w:proofErr w:type="gramEnd"/>
      <w:r w:rsidRPr="00273528">
        <w:rPr>
          <w:rFonts w:eastAsia="Calibri" w:cs="Times New Roman"/>
          <w:lang w:eastAsia="cs-CZ"/>
        </w:rPr>
        <w:t xml:space="preserve"> předem </w:t>
      </w:r>
      <w:proofErr w:type="gramStart"/>
      <w:r w:rsidRPr="00273528">
        <w:rPr>
          <w:rFonts w:eastAsia="Calibri" w:cs="Times New Roman"/>
          <w:lang w:eastAsia="cs-CZ"/>
        </w:rPr>
        <w:t>splnil</w:t>
      </w:r>
      <w:proofErr w:type="gramEnd"/>
      <w:r w:rsidRPr="00273528">
        <w:rPr>
          <w:rFonts w:eastAsia="Calibri" w:cs="Times New Roman"/>
          <w:lang w:eastAsia="cs-CZ"/>
        </w:rPr>
        <w:t xml:space="preserve"> zadavatelem stanovená kritéria, jejich dodržení doložit zákonem stanoveným způsobem a poskytnout záruční podmínky garantující, aby v případě problémů vzniklých v souvislosti s příslušnými výrobky nebyl dotčen oprávněný zájem státu. Tím zadavatel fakticky připouští a potvrzuje tazatelem namítané omezení okruhu potenciálních dodavatelů jednotlivých zařízení na konkrétní a zadavatelem předem schválené vybrané subjekty (výhradní dodavatele).</w:t>
      </w:r>
    </w:p>
    <w:p w:rsidR="00273528" w:rsidRPr="00273528" w:rsidRDefault="00273528" w:rsidP="00273528">
      <w:pPr>
        <w:spacing w:after="0" w:line="240" w:lineRule="auto"/>
        <w:rPr>
          <w:rFonts w:eastAsia="Calibri" w:cs="Times New Roman"/>
          <w:lang w:eastAsia="cs-CZ"/>
        </w:rPr>
      </w:pPr>
    </w:p>
    <w:p w:rsidR="00273528" w:rsidRPr="00273528" w:rsidRDefault="00273528" w:rsidP="00273528">
      <w:pPr>
        <w:spacing w:after="0" w:line="240" w:lineRule="auto"/>
        <w:rPr>
          <w:rFonts w:eastAsia="Calibri" w:cs="Times New Roman"/>
          <w:lang w:eastAsia="cs-CZ"/>
        </w:rPr>
      </w:pPr>
      <w:r w:rsidRPr="00273528">
        <w:rPr>
          <w:rFonts w:eastAsia="Calibri" w:cs="Times New Roman"/>
          <w:lang w:eastAsia="cs-CZ"/>
        </w:rPr>
        <w:t>Tazatel má v této souvislosti určité pochybnosti o tom, zda zadavatelem vytvořený systém spočívající v uzavření trhu výrobků (a tím i zařízení) a jejich jednotlivých dodavatelů pouze na okruh předem schválených a zadavatelem odsouhlasených subjektů (výhradních dodavatelů) a systém jejich přechozího schvalování zadavatelem, který je plně v dispozici zadavatele, bez právního nároku na zařazení do okruhu těchto dodavatelů a bez jakékoli možnosti obrany, je zcela v souladu s hlavními principy a cíli evropské právní úpravy</w:t>
      </w:r>
      <w:r w:rsidRPr="00273528">
        <w:rPr>
          <w:rFonts w:eastAsia="Calibri" w:cs="Times New Roman"/>
          <w:vertAlign w:val="superscript"/>
          <w:lang w:eastAsia="cs-CZ"/>
        </w:rPr>
        <w:footnoteReference w:id="1"/>
      </w:r>
      <w:r w:rsidRPr="00273528">
        <w:rPr>
          <w:rFonts w:eastAsia="Calibri" w:cs="Times New Roman"/>
          <w:lang w:eastAsia="cs-CZ"/>
        </w:rPr>
        <w:t xml:space="preserve"> a jednotlivými právními předpisy ČR, a to jak s právními předpisy v oblasti bezpečnosti železnic, tak v oblasti hospodářské soutěže obecně.</w:t>
      </w:r>
    </w:p>
    <w:p w:rsidR="00273528" w:rsidRPr="00273528" w:rsidRDefault="00273528" w:rsidP="00273528">
      <w:pPr>
        <w:spacing w:after="0" w:line="240" w:lineRule="auto"/>
        <w:rPr>
          <w:rFonts w:eastAsia="Calibri" w:cs="Times New Roman"/>
          <w:lang w:eastAsia="cs-CZ"/>
        </w:rPr>
      </w:pPr>
    </w:p>
    <w:p w:rsidR="00273528" w:rsidRPr="00273528" w:rsidRDefault="00273528" w:rsidP="00273528">
      <w:pPr>
        <w:spacing w:after="0" w:line="240" w:lineRule="auto"/>
        <w:rPr>
          <w:rFonts w:eastAsia="Calibri" w:cs="Times New Roman"/>
          <w:lang w:eastAsia="cs-CZ"/>
        </w:rPr>
      </w:pPr>
      <w:r w:rsidRPr="00273528">
        <w:rPr>
          <w:rFonts w:eastAsia="Calibri" w:cs="Times New Roman"/>
          <w:lang w:eastAsia="cs-CZ"/>
        </w:rPr>
        <w:t xml:space="preserve">Tazatel se současně domnívá, že ze žádného právního předpisu, a to jak z právních předpisů na národní úrovni, tak už vůbec ne z jednotlivých směrnic a/nebo nařízení Evropského parlamentu a Rady, neplyne oprávnění zadavatele předem si sám schvalovat a tím předurčovat okruh možných dodavatelů jednotlivých výrobků a zařízení pro stavby drah.  </w:t>
      </w:r>
    </w:p>
    <w:p w:rsidR="005F195E" w:rsidRDefault="005F195E" w:rsidP="00273528">
      <w:pPr>
        <w:spacing w:after="0" w:line="240" w:lineRule="auto"/>
        <w:rPr>
          <w:rFonts w:eastAsia="Calibri" w:cs="Times New Roman"/>
          <w:lang w:eastAsia="cs-CZ"/>
        </w:rPr>
      </w:pPr>
    </w:p>
    <w:p w:rsidR="00273528" w:rsidRPr="00273528" w:rsidRDefault="00273528" w:rsidP="00273528">
      <w:pPr>
        <w:spacing w:after="0" w:line="240" w:lineRule="auto"/>
        <w:rPr>
          <w:rFonts w:eastAsia="Calibri" w:cs="Times New Roman"/>
          <w:lang w:eastAsia="cs-CZ"/>
        </w:rPr>
      </w:pPr>
      <w:r w:rsidRPr="00273528">
        <w:rPr>
          <w:rFonts w:eastAsia="Calibri" w:cs="Times New Roman"/>
          <w:u w:val="single"/>
          <w:lang w:eastAsia="cs-CZ"/>
        </w:rPr>
        <w:t xml:space="preserve">Tazatel je tak přesvědčen, že zadavatel nastavil zadávací podmínky v rozporu se ZZVZ, když zadavatel v rámci jednoho zadávacího řízení spojil dohromady části plnění, které mohou </w:t>
      </w:r>
      <w:r w:rsidRPr="00273528">
        <w:rPr>
          <w:rFonts w:eastAsia="Calibri" w:cs="Times New Roman"/>
          <w:u w:val="single"/>
          <w:lang w:eastAsia="cs-CZ"/>
        </w:rPr>
        <w:lastRenderedPageBreak/>
        <w:t>realizovat pouze konkrétní výhradní (monopolní) dodavatelé s výsadním postavením na daném trhu s těmi částmi plnění, která jsou realizovatelná mnohem širším okruhem dodavatelů</w:t>
      </w:r>
      <w:r w:rsidRPr="00273528">
        <w:rPr>
          <w:rFonts w:eastAsia="Calibri" w:cs="Times New Roman"/>
          <w:lang w:eastAsia="cs-CZ"/>
        </w:rPr>
        <w:t>, čímž vytvořil prostředí, ve kterém monopolní dodavatelé mohou rozhodovat o tom, kteří dodavatelé se zadávacího řízení budou moci zúčastnit a kteří dodavatelé tak mohou realizovat předmět veřejné zakázky jako celek.</w:t>
      </w:r>
    </w:p>
    <w:p w:rsidR="00273528" w:rsidRPr="00273528" w:rsidRDefault="00273528" w:rsidP="00273528">
      <w:pPr>
        <w:spacing w:after="0" w:line="240" w:lineRule="auto"/>
        <w:rPr>
          <w:rFonts w:eastAsia="Calibri" w:cs="Times New Roman"/>
          <w:lang w:eastAsia="cs-CZ"/>
        </w:rPr>
      </w:pPr>
    </w:p>
    <w:p w:rsidR="00273528" w:rsidRPr="00273528" w:rsidRDefault="00273528" w:rsidP="00273528">
      <w:pPr>
        <w:spacing w:after="0" w:line="240" w:lineRule="auto"/>
        <w:rPr>
          <w:rFonts w:eastAsia="Calibri" w:cs="Times New Roman"/>
          <w:b/>
          <w:bCs/>
          <w:lang w:eastAsia="cs-CZ"/>
        </w:rPr>
      </w:pPr>
      <w:r w:rsidRPr="00273528">
        <w:rPr>
          <w:rFonts w:eastAsia="Calibri" w:cs="Times New Roman"/>
          <w:b/>
          <w:bCs/>
          <w:lang w:eastAsia="cs-CZ"/>
        </w:rPr>
        <w:t>Tazatel je přesvědčen, že zadavatel svými nezákonnými úkony v zadávacím řízení popírá smysl a účel ZZVZ, jakož i zamezuje efektivnímu, účelnému a hospodárnému vynakládání finančních prostředků, pakliže podání nabídky, resp. splnění veškerých podmínek účasti v zadávacím řízení podmínil předložením specifikace zařízení a dokladů o jeho dispozici, přestože požadavky zadavatele na zařízení je reálně schopen splnil velmi úzký okruh dodavatelů.</w:t>
      </w:r>
    </w:p>
    <w:p w:rsidR="00273528" w:rsidRPr="00273528" w:rsidRDefault="00273528" w:rsidP="00273528">
      <w:pPr>
        <w:spacing w:after="0" w:line="240" w:lineRule="auto"/>
        <w:rPr>
          <w:rFonts w:eastAsia="Calibri" w:cs="Times New Roman"/>
          <w:lang w:eastAsia="cs-CZ"/>
        </w:rPr>
      </w:pPr>
    </w:p>
    <w:p w:rsidR="00273528" w:rsidRDefault="00273528" w:rsidP="00273528">
      <w:pPr>
        <w:spacing w:after="0" w:line="240" w:lineRule="auto"/>
        <w:rPr>
          <w:rFonts w:eastAsia="Calibri" w:cs="Times New Roman"/>
          <w:b/>
          <w:bCs/>
          <w:lang w:eastAsia="cs-CZ"/>
        </w:rPr>
      </w:pPr>
      <w:r w:rsidRPr="00273528">
        <w:rPr>
          <w:rFonts w:eastAsia="Calibri" w:cs="Times New Roman"/>
          <w:b/>
          <w:bCs/>
          <w:lang w:eastAsia="cs-CZ"/>
        </w:rPr>
        <w:t>Je zadavatel i nadále přesvědčen, že požadavek na předložení specifikace zařízení, které splňuje náročné podmínky Směrnice SŽDC v rámci nabídky dodavatele je ve vztahu k předmětu veřejné zakázky odůvodněný a přiměřený (tedy formulovaný v souladu s § 36 odst. 1 ZZVZ a § 37 odst. 1 písm. b) ZZVZ ve spojení s § 6 ZZVZ)? Jakým způsobem zadavatel zajistí otevřenou, transparentní a nediskriminační soutěž o veřejnou zakázku, když zadavatel předem určil a schválil výhradní dodavatele dílčí části veřejné zakázky, která je rozhodující pro určení okruhu potenciálních dodavatelů? Pakliže zadavatel i nadále trvá na požadavku dle čl. 9.1 ZD, zajistí zadavatel potřebnou součinnost těchto výhradních dodavatelů dílčí části plnění veřejné zakázky tak, aby nedošlo ke zvýhodňování jen některých zájemců o veřejnou zakázku a všichni potenciální dodavatelé veřejné zakázky měli stejné podmínky pro zpracování svých nabídek a stejné šance v zadávacím řízení uspět?</w:t>
      </w:r>
    </w:p>
    <w:p w:rsidR="00C7010B" w:rsidRPr="00273528" w:rsidRDefault="00C7010B" w:rsidP="00273528">
      <w:pPr>
        <w:spacing w:after="0" w:line="240" w:lineRule="auto"/>
        <w:rPr>
          <w:rFonts w:eastAsia="Calibri" w:cs="Times New Roman"/>
          <w:b/>
          <w:bCs/>
          <w:lang w:eastAsia="cs-CZ"/>
        </w:rPr>
      </w:pPr>
    </w:p>
    <w:p w:rsidR="00273528" w:rsidRPr="00273528" w:rsidRDefault="00273528" w:rsidP="00273528">
      <w:pPr>
        <w:spacing w:after="0" w:line="240" w:lineRule="auto"/>
        <w:rPr>
          <w:rFonts w:eastAsia="Calibri" w:cs="Times New Roman"/>
          <w:b/>
          <w:bCs/>
          <w:lang w:eastAsia="cs-CZ"/>
        </w:rPr>
      </w:pPr>
      <w:r w:rsidRPr="00273528">
        <w:rPr>
          <w:rFonts w:eastAsia="Calibri" w:cs="Times New Roman"/>
          <w:b/>
          <w:bCs/>
          <w:lang w:eastAsia="cs-CZ"/>
        </w:rPr>
        <w:t>Tazatel současně žádá, aby zadavatel při vyřízení této žádosti postupoval v souladu s § 99 odst. 2 ZZVZ a v případě takové změny nebo doplnění zadávací dokumentace, která může rozšířit okruh možných účastníků zadávacího řízení (takovou změnou je nepochybně i změna požadavku na obsah nabídek), aby prodloužil lhůtu pro podání nabídek tak, aby tato od odeslání změny nebo doplnění zadávací dokumentace činila nejméně celou svou původní délku.</w:t>
      </w:r>
    </w:p>
    <w:p w:rsidR="00B652D1" w:rsidRPr="00BD5319" w:rsidRDefault="00B652D1" w:rsidP="00BD5319">
      <w:pPr>
        <w:spacing w:after="0" w:line="240" w:lineRule="auto"/>
        <w:rPr>
          <w:rFonts w:eastAsia="Calibri" w:cs="Times New Roman"/>
          <w:b/>
          <w:lang w:eastAsia="cs-CZ"/>
        </w:rPr>
      </w:pPr>
    </w:p>
    <w:p w:rsidR="005F195E" w:rsidRPr="00BD5319" w:rsidRDefault="005F195E" w:rsidP="005F195E">
      <w:pPr>
        <w:spacing w:after="0" w:line="240" w:lineRule="auto"/>
        <w:rPr>
          <w:rFonts w:eastAsia="Calibri" w:cs="Times New Roman"/>
          <w:b/>
          <w:lang w:eastAsia="cs-CZ"/>
        </w:rPr>
      </w:pPr>
      <w:r w:rsidRPr="00BD5319">
        <w:rPr>
          <w:rFonts w:eastAsia="Calibri" w:cs="Times New Roman"/>
          <w:b/>
          <w:lang w:eastAsia="cs-CZ"/>
        </w:rPr>
        <w:t xml:space="preserve">Odpověď: </w:t>
      </w:r>
    </w:p>
    <w:p w:rsidR="00C7010B" w:rsidRPr="00C7010B" w:rsidRDefault="00C7010B" w:rsidP="00C7010B">
      <w:pPr>
        <w:spacing w:after="120"/>
        <w:jc w:val="both"/>
        <w:rPr>
          <w:rFonts w:ascii="Verdana" w:hAnsi="Verdana"/>
          <w:sz w:val="20"/>
          <w:szCs w:val="20"/>
        </w:rPr>
      </w:pPr>
      <w:r w:rsidRPr="00C7010B">
        <w:rPr>
          <w:rFonts w:ascii="Verdana" w:hAnsi="Verdana"/>
          <w:sz w:val="20"/>
          <w:szCs w:val="20"/>
        </w:rPr>
        <w:t xml:space="preserve">Zadavatel obdržel Vaši Žádost o vysvětlení zadávací dokumentace na Veřejnou zakázku „Výstavba TNS Stéblová“ ze dne </w:t>
      </w:r>
      <w:r>
        <w:rPr>
          <w:rFonts w:ascii="Verdana" w:hAnsi="Verdana"/>
          <w:sz w:val="20"/>
          <w:szCs w:val="20"/>
        </w:rPr>
        <w:t xml:space="preserve">13. 5. </w:t>
      </w:r>
      <w:r w:rsidRPr="00C7010B">
        <w:rPr>
          <w:rFonts w:ascii="Verdana" w:hAnsi="Verdana"/>
          <w:sz w:val="20"/>
          <w:szCs w:val="20"/>
        </w:rPr>
        <w:t>2020.</w:t>
      </w:r>
    </w:p>
    <w:p w:rsidR="00C7010B" w:rsidRPr="00C7010B" w:rsidRDefault="00C7010B" w:rsidP="00C7010B">
      <w:pPr>
        <w:pStyle w:val="Odstavecseseznamem"/>
        <w:ind w:left="0"/>
        <w:rPr>
          <w:rFonts w:ascii="Verdana" w:hAnsi="Verdana"/>
          <w:b/>
          <w:sz w:val="20"/>
          <w:szCs w:val="20"/>
        </w:rPr>
      </w:pPr>
      <w:r w:rsidRPr="00C7010B">
        <w:rPr>
          <w:rFonts w:ascii="Verdana" w:hAnsi="Verdana"/>
          <w:sz w:val="20"/>
          <w:szCs w:val="20"/>
        </w:rPr>
        <w:t xml:space="preserve">Po jejím důkladném prostudování zadavatel dospěl k závěru, že níže uvedený předmětný </w:t>
      </w:r>
      <w:r w:rsidRPr="00C7010B">
        <w:rPr>
          <w:rFonts w:ascii="Verdana" w:hAnsi="Verdana"/>
          <w:b/>
          <w:sz w:val="20"/>
          <w:szCs w:val="20"/>
        </w:rPr>
        <w:t>požadavek v článku č. 9.1. Pokynů pro dodavatele je opodstatněný a legitimní.</w:t>
      </w:r>
    </w:p>
    <w:p w:rsidR="00C7010B" w:rsidRPr="00C7010B" w:rsidRDefault="00C7010B" w:rsidP="00C7010B">
      <w:pPr>
        <w:pStyle w:val="Text1-1"/>
        <w:numPr>
          <w:ilvl w:val="1"/>
          <w:numId w:val="8"/>
        </w:numPr>
        <w:rPr>
          <w:rFonts w:ascii="Verdana" w:hAnsi="Verdana"/>
          <w:i/>
          <w:sz w:val="20"/>
          <w:szCs w:val="20"/>
        </w:rPr>
      </w:pPr>
      <w:r w:rsidRPr="00C7010B">
        <w:rPr>
          <w:rFonts w:ascii="Verdana" w:hAnsi="Verdana"/>
          <w:i/>
          <w:sz w:val="20"/>
          <w:szCs w:val="20"/>
        </w:rPr>
        <w:t>V rámci splnění dalších požadavků zadavatele na sestavení a podání nabídek musí všichni dodavatelé ve svých nabídkách předložit následující informace, dokumenty a doklady:</w:t>
      </w:r>
    </w:p>
    <w:p w:rsidR="00C7010B" w:rsidRPr="00C7010B" w:rsidRDefault="00C7010B" w:rsidP="00C7010B">
      <w:pPr>
        <w:pStyle w:val="Odstavecseseznamem"/>
        <w:numPr>
          <w:ilvl w:val="0"/>
          <w:numId w:val="9"/>
        </w:numPr>
        <w:spacing w:after="200" w:line="276" w:lineRule="auto"/>
        <w:ind w:left="1080"/>
        <w:rPr>
          <w:rFonts w:ascii="Verdana" w:hAnsi="Verdana"/>
          <w:i/>
          <w:sz w:val="20"/>
          <w:szCs w:val="20"/>
        </w:rPr>
      </w:pPr>
      <w:r w:rsidRPr="00C7010B">
        <w:rPr>
          <w:rFonts w:ascii="Verdana" w:hAnsi="Verdana"/>
          <w:i/>
          <w:sz w:val="20"/>
          <w:szCs w:val="20"/>
        </w:rPr>
        <w:t xml:space="preserve">Specifikaci typu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Nebude-li dodavatel současně i výrobcem nebo dodavatelem takto určeného zařízení elektrotechniky a energetiky, předloží dodavatel kopii smlouvy uzavřené s výrobcem nebo dodavatelem tohoto zařízení elektrotechniky a energetiky, kterou prokáže, že bude mít toto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w:t>
      </w:r>
      <w:r w:rsidRPr="00C7010B">
        <w:rPr>
          <w:rFonts w:ascii="Verdana" w:hAnsi="Verdana"/>
          <w:i/>
          <w:sz w:val="20"/>
          <w:szCs w:val="20"/>
        </w:rPr>
        <w:lastRenderedPageBreak/>
        <w:t xml:space="preserve">s tím, že je dodavatel sám schopen toto zařízení odborně sestavit a namontovat. Specifikace typu, případně smlouva s výrobcem nebo dodavatelem, bude požadována pro následující zařízení: </w:t>
      </w:r>
    </w:p>
    <w:p w:rsidR="00C7010B" w:rsidRPr="00C7010B" w:rsidRDefault="00C7010B" w:rsidP="00C7010B">
      <w:pPr>
        <w:pStyle w:val="Odstavecseseznamem"/>
        <w:ind w:left="1080"/>
        <w:rPr>
          <w:rFonts w:ascii="Verdana" w:hAnsi="Verdana"/>
          <w:b/>
          <w:i/>
          <w:sz w:val="20"/>
          <w:szCs w:val="20"/>
        </w:rPr>
      </w:pPr>
      <w:r w:rsidRPr="00C7010B">
        <w:rPr>
          <w:rFonts w:ascii="Verdana" w:hAnsi="Verdana"/>
          <w:b/>
          <w:i/>
          <w:sz w:val="20"/>
          <w:szCs w:val="20"/>
        </w:rPr>
        <w:t xml:space="preserve">technologie rozvodny 110 </w:t>
      </w:r>
      <w:proofErr w:type="spellStart"/>
      <w:r w:rsidRPr="00C7010B">
        <w:rPr>
          <w:rFonts w:ascii="Verdana" w:hAnsi="Verdana"/>
          <w:b/>
          <w:i/>
          <w:sz w:val="20"/>
          <w:szCs w:val="20"/>
        </w:rPr>
        <w:t>kV</w:t>
      </w:r>
      <w:proofErr w:type="spellEnd"/>
      <w:r w:rsidRPr="00C7010B">
        <w:rPr>
          <w:rFonts w:ascii="Verdana" w:hAnsi="Verdana"/>
          <w:b/>
          <w:i/>
          <w:sz w:val="20"/>
          <w:szCs w:val="20"/>
        </w:rPr>
        <w:t xml:space="preserve">, transformátory 110 </w:t>
      </w:r>
      <w:proofErr w:type="spellStart"/>
      <w:r w:rsidRPr="00C7010B">
        <w:rPr>
          <w:rFonts w:ascii="Verdana" w:hAnsi="Verdana"/>
          <w:b/>
          <w:i/>
          <w:sz w:val="20"/>
          <w:szCs w:val="20"/>
        </w:rPr>
        <w:t>kV</w:t>
      </w:r>
      <w:proofErr w:type="spellEnd"/>
      <w:r w:rsidRPr="00C7010B">
        <w:rPr>
          <w:rFonts w:ascii="Verdana" w:hAnsi="Verdana"/>
          <w:b/>
          <w:i/>
          <w:sz w:val="20"/>
          <w:szCs w:val="20"/>
        </w:rPr>
        <w:t xml:space="preserve">, mobilní napájecí stanice DC 3 </w:t>
      </w:r>
      <w:proofErr w:type="spellStart"/>
      <w:r w:rsidRPr="00C7010B">
        <w:rPr>
          <w:rFonts w:ascii="Verdana" w:hAnsi="Verdana"/>
          <w:b/>
          <w:i/>
          <w:sz w:val="20"/>
          <w:szCs w:val="20"/>
        </w:rPr>
        <w:t>kV</w:t>
      </w:r>
      <w:proofErr w:type="spellEnd"/>
      <w:r w:rsidRPr="00C7010B">
        <w:rPr>
          <w:rFonts w:ascii="Verdana" w:hAnsi="Verdana"/>
          <w:b/>
          <w:i/>
          <w:sz w:val="20"/>
          <w:szCs w:val="20"/>
        </w:rPr>
        <w:t xml:space="preserve">, 5 - 6 MVA – musí mít schválené trvalé technické podmínky pro použití na drahách Správy železnic - dodávka a uvedení do provozu.  </w:t>
      </w:r>
    </w:p>
    <w:p w:rsidR="00C7010B" w:rsidRPr="00C7010B" w:rsidRDefault="00C7010B" w:rsidP="00C7010B">
      <w:pPr>
        <w:pStyle w:val="Odstavecseseznamem"/>
        <w:ind w:left="0"/>
        <w:rPr>
          <w:rFonts w:ascii="Verdana" w:hAnsi="Verdana"/>
          <w:sz w:val="20"/>
          <w:szCs w:val="20"/>
        </w:rPr>
      </w:pPr>
      <w:r w:rsidRPr="00C7010B">
        <w:rPr>
          <w:rFonts w:ascii="Verdana" w:hAnsi="Verdana"/>
          <w:sz w:val="20"/>
          <w:szCs w:val="20"/>
        </w:rPr>
        <w:t xml:space="preserve">               (dále jen „zařízení“)</w:t>
      </w:r>
    </w:p>
    <w:p w:rsidR="00C7010B" w:rsidRDefault="00C7010B" w:rsidP="00C7010B">
      <w:pPr>
        <w:pStyle w:val="Odstavecseseznamem"/>
        <w:ind w:left="0"/>
        <w:rPr>
          <w:rFonts w:ascii="Verdana" w:hAnsi="Verdana"/>
          <w:sz w:val="20"/>
          <w:szCs w:val="20"/>
        </w:rPr>
      </w:pPr>
    </w:p>
    <w:p w:rsidR="00C7010B" w:rsidRPr="00C7010B" w:rsidRDefault="00C7010B" w:rsidP="00C7010B">
      <w:pPr>
        <w:pStyle w:val="Odstavecseseznamem"/>
        <w:ind w:left="0"/>
        <w:rPr>
          <w:rFonts w:ascii="Verdana" w:hAnsi="Verdana"/>
          <w:sz w:val="20"/>
          <w:szCs w:val="20"/>
        </w:rPr>
      </w:pPr>
      <w:r w:rsidRPr="00C7010B">
        <w:rPr>
          <w:rFonts w:ascii="Verdana" w:hAnsi="Verdana"/>
          <w:sz w:val="20"/>
          <w:szCs w:val="20"/>
        </w:rPr>
        <w:t>Požadované zařízení je hlavní částí předmětu plnění této veřejné zakázky a je nezbytné pro její úspěšné dokončení. Z tohoto důvodu bylo vyhrazeno doložení (zajištění) dodávky tohoto zařízení, aby bylo prokazatelné, že dodavatel je schopen předmětnou zakázku realizovat.</w:t>
      </w:r>
    </w:p>
    <w:p w:rsidR="00C7010B" w:rsidRPr="00C7010B" w:rsidRDefault="00C7010B" w:rsidP="00C7010B">
      <w:pPr>
        <w:jc w:val="both"/>
        <w:rPr>
          <w:rFonts w:ascii="Verdana" w:hAnsi="Verdana"/>
          <w:sz w:val="20"/>
          <w:szCs w:val="20"/>
        </w:rPr>
      </w:pPr>
      <w:r w:rsidRPr="00C7010B">
        <w:rPr>
          <w:rFonts w:ascii="Verdana" w:hAnsi="Verdana"/>
          <w:sz w:val="20"/>
          <w:szCs w:val="20"/>
        </w:rPr>
        <w:t xml:space="preserve">V případě, že by dodavatel neměl dodávku předmětného zařízení zajištěnou, tak by hrozilo prodloužení stavby, finanční nárůsty z důvodu prodlení, ohrožení navazujících staveb, krajně až odstoupení od smlouvy. </w:t>
      </w:r>
    </w:p>
    <w:p w:rsidR="00C7010B" w:rsidRPr="00C7010B" w:rsidRDefault="00C7010B" w:rsidP="00C7010B">
      <w:pPr>
        <w:jc w:val="both"/>
        <w:rPr>
          <w:rFonts w:ascii="Verdana" w:hAnsi="Verdana"/>
          <w:sz w:val="20"/>
          <w:szCs w:val="20"/>
        </w:rPr>
      </w:pPr>
      <w:r w:rsidRPr="00C7010B">
        <w:rPr>
          <w:rFonts w:ascii="Verdana" w:hAnsi="Verdana"/>
          <w:sz w:val="20"/>
          <w:szCs w:val="20"/>
        </w:rPr>
        <w:t>Varianta použití klasických zděných měníren, namísto převozných pro tuto zakázku nepřipadá z důvodu budoucích zmařených investic v úvahu, jelikož se budou tyto převozné měnírny, při přechodu předmětné oblasti na střídavou trakci, převážet a používat pro napájení jiného úseku na železniční dopravní cesty.</w:t>
      </w:r>
    </w:p>
    <w:p w:rsidR="00C7010B" w:rsidRPr="00C7010B" w:rsidRDefault="00C7010B" w:rsidP="00C7010B">
      <w:pPr>
        <w:jc w:val="both"/>
        <w:rPr>
          <w:rFonts w:ascii="Verdana" w:hAnsi="Verdana"/>
          <w:sz w:val="20"/>
          <w:szCs w:val="20"/>
        </w:rPr>
      </w:pPr>
      <w:r w:rsidRPr="00C7010B">
        <w:rPr>
          <w:rFonts w:ascii="Verdana" w:hAnsi="Verdana"/>
          <w:sz w:val="20"/>
          <w:szCs w:val="20"/>
        </w:rPr>
        <w:t xml:space="preserve">Podmínka, aby specifikované zařízení bylo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je také opodstatněná. Zařízení, která nesplňují předepsané technické podmínky, nemohou být na železniční dopravní cestě využívána, a to především z důvodu bezpečnosti provozu. </w:t>
      </w:r>
    </w:p>
    <w:p w:rsidR="00C7010B" w:rsidRPr="00C7010B" w:rsidRDefault="00C7010B" w:rsidP="00C7010B">
      <w:pPr>
        <w:jc w:val="both"/>
        <w:rPr>
          <w:rFonts w:ascii="Verdana" w:hAnsi="Verdana"/>
          <w:sz w:val="20"/>
          <w:szCs w:val="20"/>
        </w:rPr>
      </w:pPr>
      <w:r w:rsidRPr="00C7010B">
        <w:rPr>
          <w:rFonts w:ascii="Verdana" w:hAnsi="Verdana"/>
          <w:sz w:val="20"/>
          <w:szCs w:val="20"/>
        </w:rPr>
        <w:t xml:space="preserve">Zadavatel na tuto skutečnost v zadávací dokumentaci poukazuje, ale nebrání dodavateli, který má o předmětnou veřejnou zakázku seriózní zájem, aby požádal o schválení technických podmínek pro použití na dráze pro vlastní zařízení nebo zařízení jiného výrobce, který je ochoten dodavateli toto zařízení pro realizaci této zakázky poskytnout. </w:t>
      </w:r>
    </w:p>
    <w:p w:rsidR="00C7010B" w:rsidRPr="00C7010B" w:rsidRDefault="00C7010B" w:rsidP="00C7010B">
      <w:pPr>
        <w:jc w:val="both"/>
        <w:rPr>
          <w:rFonts w:ascii="Verdana" w:hAnsi="Verdana"/>
          <w:sz w:val="20"/>
          <w:szCs w:val="20"/>
        </w:rPr>
      </w:pPr>
      <w:r w:rsidRPr="00C7010B">
        <w:rPr>
          <w:rFonts w:ascii="Verdana" w:hAnsi="Verdana"/>
          <w:sz w:val="20"/>
          <w:szCs w:val="20"/>
        </w:rPr>
        <w:t xml:space="preserve">Pokud takové zařízení bude splňovat požadované technické podmínky, jeho schválení je reálné získat ve lhůtě pro podání nabídek. Schválení technických podmínek je možno získat standartním postupem popsaným ve Směrnici SŽDC č. 34. </w:t>
      </w:r>
    </w:p>
    <w:p w:rsidR="005F195E" w:rsidRPr="00C7010B" w:rsidRDefault="00C7010B" w:rsidP="00C7010B">
      <w:pPr>
        <w:jc w:val="both"/>
        <w:rPr>
          <w:rFonts w:ascii="Verdana" w:hAnsi="Verdana"/>
          <w:sz w:val="20"/>
          <w:szCs w:val="20"/>
        </w:rPr>
      </w:pPr>
      <w:r w:rsidRPr="00C7010B">
        <w:rPr>
          <w:rFonts w:ascii="Verdana" w:hAnsi="Verdana"/>
          <w:sz w:val="20"/>
          <w:szCs w:val="20"/>
        </w:rPr>
        <w:t>Z výše uvedených důvodů zadavatel Vaši žádost o změnu zadávací dokumentace zamítá.</w:t>
      </w:r>
    </w:p>
    <w:p w:rsidR="00C7010B" w:rsidRDefault="00C7010B" w:rsidP="00C7010B">
      <w:pPr>
        <w:spacing w:after="0" w:line="240" w:lineRule="auto"/>
        <w:jc w:val="both"/>
        <w:rPr>
          <w:rFonts w:eastAsia="Times New Roman" w:cs="Times New Roman"/>
          <w:lang w:eastAsia="cs-CZ"/>
        </w:rPr>
      </w:pPr>
      <w:r>
        <w:rPr>
          <w:rFonts w:eastAsia="Times New Roman" w:cs="Times New Roman"/>
          <w:lang w:eastAsia="cs-CZ"/>
        </w:rPr>
        <w:t xml:space="preserve">Vzhledem ke skutečnosti, že bylo provedeno pouze </w:t>
      </w:r>
      <w:r>
        <w:rPr>
          <w:rFonts w:eastAsia="Times New Roman" w:cs="Times New Roman"/>
          <w:b/>
          <w:lang w:eastAsia="cs-CZ"/>
        </w:rPr>
        <w:t xml:space="preserve">vysvětlení zadávací dokumentace </w:t>
      </w:r>
      <w:r>
        <w:rPr>
          <w:rFonts w:eastAsia="Times New Roman" w:cs="Times New Roman"/>
          <w:lang w:eastAsia="cs-CZ"/>
        </w:rPr>
        <w:t>dle § 98 ZZVZ, neprodlužuje zadavatel lhůtu pro podání nabídek.</w:t>
      </w:r>
    </w:p>
    <w:p w:rsidR="005F195E" w:rsidRDefault="005F195E" w:rsidP="00CA3AC2">
      <w:pPr>
        <w:spacing w:after="0" w:line="240" w:lineRule="auto"/>
        <w:rPr>
          <w:rFonts w:eastAsia="Times New Roman" w:cs="Times New Roman"/>
          <w:lang w:eastAsia="cs-CZ"/>
        </w:rPr>
      </w:pPr>
    </w:p>
    <w:p w:rsidR="00B652D1" w:rsidRPr="00C7010B" w:rsidRDefault="00B652D1" w:rsidP="00B652D1">
      <w:pPr>
        <w:spacing w:after="0" w:line="240" w:lineRule="auto"/>
        <w:jc w:val="both"/>
        <w:rPr>
          <w:rFonts w:eastAsia="Calibri" w:cs="Times New Roman"/>
          <w:lang w:eastAsia="cs-CZ"/>
        </w:rPr>
      </w:pPr>
      <w:r w:rsidRPr="00C7010B">
        <w:rPr>
          <w:rFonts w:eastAsia="Calibri" w:cs="Times New Roman"/>
          <w:lang w:eastAsia="cs-CZ"/>
        </w:rPr>
        <w:t>V </w:t>
      </w:r>
      <w:r w:rsidR="00C7010B" w:rsidRPr="00C7010B">
        <w:rPr>
          <w:rFonts w:eastAsia="Calibri" w:cs="Times New Roman"/>
          <w:lang w:eastAsia="cs-CZ"/>
        </w:rPr>
        <w:t>Olomouci</w:t>
      </w:r>
      <w:r w:rsidRPr="00C7010B">
        <w:rPr>
          <w:rFonts w:eastAsia="Calibri" w:cs="Times New Roman"/>
          <w:lang w:eastAsia="cs-CZ"/>
        </w:rPr>
        <w:t xml:space="preserve"> dne </w:t>
      </w:r>
      <w:r w:rsidR="00CA3AC2" w:rsidRPr="00C7010B">
        <w:rPr>
          <w:rFonts w:eastAsia="Calibri" w:cs="Times New Roman"/>
          <w:lang w:eastAsia="cs-CZ"/>
        </w:rPr>
        <w:t>1</w:t>
      </w:r>
      <w:r w:rsidR="00C7010B" w:rsidRPr="00C7010B">
        <w:rPr>
          <w:rFonts w:eastAsia="Calibri" w:cs="Times New Roman"/>
          <w:lang w:eastAsia="cs-CZ"/>
        </w:rPr>
        <w:t>8</w:t>
      </w:r>
      <w:r w:rsidR="00CA3AC2" w:rsidRPr="00C7010B">
        <w:rPr>
          <w:rFonts w:eastAsia="Calibri" w:cs="Times New Roman"/>
          <w:lang w:eastAsia="cs-CZ"/>
        </w:rPr>
        <w:t>. 5. 2020</w:t>
      </w:r>
    </w:p>
    <w:p w:rsidR="00B652D1" w:rsidRPr="00C7010B" w:rsidRDefault="00B652D1" w:rsidP="00B652D1">
      <w:pPr>
        <w:spacing w:after="0" w:line="240" w:lineRule="auto"/>
        <w:jc w:val="both"/>
        <w:rPr>
          <w:rFonts w:eastAsia="Calibri" w:cs="Times New Roman"/>
          <w:lang w:eastAsia="cs-CZ"/>
        </w:rPr>
      </w:pPr>
    </w:p>
    <w:p w:rsidR="00CA3AC2" w:rsidRPr="00C7010B" w:rsidRDefault="00CA3AC2" w:rsidP="00B652D1">
      <w:pPr>
        <w:spacing w:after="0" w:line="240" w:lineRule="auto"/>
        <w:jc w:val="both"/>
        <w:rPr>
          <w:rFonts w:eastAsia="Calibri" w:cs="Times New Roman"/>
          <w:lang w:eastAsia="cs-CZ"/>
        </w:rPr>
      </w:pPr>
    </w:p>
    <w:p w:rsidR="00C7010B" w:rsidRPr="00C7010B" w:rsidRDefault="00C7010B" w:rsidP="00B652D1">
      <w:pPr>
        <w:spacing w:after="0" w:line="240" w:lineRule="auto"/>
        <w:jc w:val="both"/>
        <w:rPr>
          <w:rFonts w:eastAsia="Calibri" w:cs="Times New Roman"/>
          <w:lang w:eastAsia="cs-CZ"/>
        </w:rPr>
      </w:pPr>
    </w:p>
    <w:p w:rsidR="00C7010B" w:rsidRPr="00C7010B" w:rsidRDefault="00C7010B" w:rsidP="00C7010B">
      <w:pPr>
        <w:spacing w:after="0" w:line="240" w:lineRule="auto"/>
        <w:rPr>
          <w:rFonts w:eastAsia="Times New Roman" w:cs="Times New Roman"/>
          <w:b/>
          <w:lang w:eastAsia="cs-CZ"/>
        </w:rPr>
      </w:pPr>
      <w:r w:rsidRPr="00C7010B">
        <w:rPr>
          <w:rFonts w:eastAsia="Times New Roman" w:cs="Times New Roman"/>
          <w:b/>
          <w:bCs/>
          <w:lang w:eastAsia="cs-CZ"/>
        </w:rPr>
        <w:t>Ing. Miroslav Bocák</w:t>
      </w:r>
      <w:r w:rsidRPr="00C7010B">
        <w:rPr>
          <w:rFonts w:eastAsia="Times New Roman" w:cs="Times New Roman"/>
          <w:b/>
          <w:lang w:eastAsia="cs-CZ"/>
        </w:rPr>
        <w:t xml:space="preserve"> </w:t>
      </w:r>
    </w:p>
    <w:p w:rsidR="00C7010B" w:rsidRPr="00C7010B" w:rsidRDefault="00C7010B" w:rsidP="00C7010B">
      <w:pPr>
        <w:tabs>
          <w:tab w:val="center" w:pos="7300"/>
          <w:tab w:val="right" w:pos="9072"/>
        </w:tabs>
        <w:spacing w:after="0" w:line="240" w:lineRule="auto"/>
        <w:rPr>
          <w:rFonts w:eastAsia="Times New Roman" w:cs="Times New Roman"/>
          <w:lang w:eastAsia="cs-CZ"/>
        </w:rPr>
      </w:pPr>
      <w:r w:rsidRPr="00C7010B">
        <w:rPr>
          <w:rFonts w:eastAsia="Times New Roman" w:cs="Times New Roman"/>
          <w:lang w:eastAsia="cs-CZ"/>
        </w:rPr>
        <w:t>ředitel organizační jednotky</w:t>
      </w:r>
      <w:r w:rsidRPr="00C7010B">
        <w:rPr>
          <w:rFonts w:eastAsia="Times New Roman" w:cs="Times New Roman"/>
          <w:lang w:eastAsia="cs-CZ"/>
        </w:rPr>
        <w:tab/>
      </w:r>
    </w:p>
    <w:p w:rsidR="00C7010B" w:rsidRPr="00C7010B" w:rsidRDefault="00C7010B" w:rsidP="00C7010B">
      <w:pPr>
        <w:tabs>
          <w:tab w:val="center" w:pos="7300"/>
          <w:tab w:val="right" w:pos="9072"/>
        </w:tabs>
        <w:spacing w:after="0" w:line="240" w:lineRule="auto"/>
        <w:rPr>
          <w:rFonts w:eastAsia="Times New Roman" w:cs="Times New Roman"/>
          <w:lang w:eastAsia="cs-CZ"/>
        </w:rPr>
      </w:pPr>
      <w:r w:rsidRPr="00C7010B">
        <w:rPr>
          <w:rFonts w:eastAsia="Times New Roman" w:cs="Times New Roman"/>
          <w:lang w:eastAsia="cs-CZ"/>
        </w:rPr>
        <w:t>Stavební správa východ</w:t>
      </w:r>
    </w:p>
    <w:p w:rsidR="00C7010B" w:rsidRDefault="00C7010B" w:rsidP="00C7010B">
      <w:pPr>
        <w:spacing w:after="0" w:line="240" w:lineRule="auto"/>
        <w:rPr>
          <w:rFonts w:eastAsia="Times New Roman" w:cs="Times New Roman"/>
          <w:lang w:eastAsia="cs-CZ"/>
        </w:rPr>
      </w:pPr>
      <w:r w:rsidRPr="00C7010B">
        <w:rPr>
          <w:rFonts w:eastAsia="Times New Roman" w:cs="Times New Roman"/>
          <w:lang w:eastAsia="cs-CZ"/>
        </w:rPr>
        <w:t>Správa železnic, státní organizace</w:t>
      </w:r>
    </w:p>
    <w:sectPr w:rsidR="00C7010B"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97A" w:rsidRDefault="00CB597A" w:rsidP="00962258">
      <w:pPr>
        <w:spacing w:after="0" w:line="240" w:lineRule="auto"/>
      </w:pPr>
      <w:r>
        <w:separator/>
      </w:r>
    </w:p>
  </w:endnote>
  <w:endnote w:type="continuationSeparator" w:id="0">
    <w:p w:rsidR="00CB597A" w:rsidRDefault="00CB59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B597A" w:rsidTr="00D831A3">
      <w:tc>
        <w:tcPr>
          <w:tcW w:w="1361" w:type="dxa"/>
          <w:tcMar>
            <w:left w:w="0" w:type="dxa"/>
            <w:right w:w="0" w:type="dxa"/>
          </w:tcMar>
          <w:vAlign w:val="bottom"/>
        </w:tcPr>
        <w:p w:rsidR="00CB597A" w:rsidRPr="00B8518B" w:rsidRDefault="000A4628" w:rsidP="00B8518B">
          <w:pPr>
            <w:pStyle w:val="Zpat"/>
            <w:rPr>
              <w:rStyle w:val="slostrnky"/>
            </w:rPr>
          </w:pPr>
          <w:r w:rsidRPr="00B8518B">
            <w:rPr>
              <w:rStyle w:val="slostrnky"/>
            </w:rPr>
            <w:fldChar w:fldCharType="begin"/>
          </w:r>
          <w:r w:rsidR="00CB597A" w:rsidRPr="00B8518B">
            <w:rPr>
              <w:rStyle w:val="slostrnky"/>
            </w:rPr>
            <w:instrText>PAGE   \* MERGEFORMAT</w:instrText>
          </w:r>
          <w:r w:rsidRPr="00B8518B">
            <w:rPr>
              <w:rStyle w:val="slostrnky"/>
            </w:rPr>
            <w:fldChar w:fldCharType="separate"/>
          </w:r>
          <w:r w:rsidR="006A04F4">
            <w:rPr>
              <w:rStyle w:val="slostrnky"/>
              <w:noProof/>
            </w:rPr>
            <w:t>2</w:t>
          </w:r>
          <w:r w:rsidRPr="00B8518B">
            <w:rPr>
              <w:rStyle w:val="slostrnky"/>
            </w:rPr>
            <w:fldChar w:fldCharType="end"/>
          </w:r>
          <w:r w:rsidR="00CB597A" w:rsidRPr="00B8518B">
            <w:rPr>
              <w:rStyle w:val="slostrnky"/>
            </w:rPr>
            <w:t>/</w:t>
          </w:r>
          <w:r w:rsidR="006A04F4">
            <w:fldChar w:fldCharType="begin"/>
          </w:r>
          <w:r w:rsidR="006A04F4">
            <w:instrText xml:space="preserve"> NUMPAGES   \* MERGEFORMAT </w:instrText>
          </w:r>
          <w:r w:rsidR="006A04F4">
            <w:fldChar w:fldCharType="separate"/>
          </w:r>
          <w:r w:rsidR="006A04F4" w:rsidRPr="006A04F4">
            <w:rPr>
              <w:rStyle w:val="slostrnky"/>
              <w:noProof/>
            </w:rPr>
            <w:t>4</w:t>
          </w:r>
          <w:r w:rsidR="006A04F4">
            <w:rPr>
              <w:rStyle w:val="slostrnky"/>
              <w:noProof/>
            </w:rPr>
            <w:fldChar w:fldCharType="end"/>
          </w:r>
        </w:p>
      </w:tc>
      <w:tc>
        <w:tcPr>
          <w:tcW w:w="3458" w:type="dxa"/>
          <w:shd w:val="clear" w:color="auto" w:fill="auto"/>
          <w:tcMar>
            <w:left w:w="0" w:type="dxa"/>
            <w:right w:w="0" w:type="dxa"/>
          </w:tcMar>
        </w:tcPr>
        <w:p w:rsidR="00CB597A" w:rsidRDefault="00CB597A" w:rsidP="00B8518B">
          <w:pPr>
            <w:pStyle w:val="Zpat"/>
          </w:pPr>
        </w:p>
      </w:tc>
      <w:tc>
        <w:tcPr>
          <w:tcW w:w="2835" w:type="dxa"/>
          <w:shd w:val="clear" w:color="auto" w:fill="auto"/>
          <w:tcMar>
            <w:left w:w="0" w:type="dxa"/>
            <w:right w:w="0" w:type="dxa"/>
          </w:tcMar>
        </w:tcPr>
        <w:p w:rsidR="00CB597A" w:rsidRDefault="00CB597A" w:rsidP="00B8518B">
          <w:pPr>
            <w:pStyle w:val="Zpat"/>
          </w:pPr>
        </w:p>
      </w:tc>
      <w:tc>
        <w:tcPr>
          <w:tcW w:w="2921" w:type="dxa"/>
        </w:tcPr>
        <w:p w:rsidR="00CB597A" w:rsidRDefault="00CB597A" w:rsidP="00D831A3">
          <w:pPr>
            <w:pStyle w:val="Zpat"/>
          </w:pPr>
        </w:p>
      </w:tc>
    </w:tr>
  </w:tbl>
  <w:p w:rsidR="00CB597A" w:rsidRPr="00B8518B" w:rsidRDefault="006A04F4" w:rsidP="00B8518B">
    <w:pPr>
      <w:pStyle w:val="Zpat"/>
      <w:rPr>
        <w:sz w:val="2"/>
        <w:szCs w:val="2"/>
      </w:rPr>
    </w:pPr>
    <w:r>
      <w:rPr>
        <w:noProof/>
        <w:sz w:val="2"/>
        <w:szCs w:val="2"/>
        <w:lang w:eastAsia="cs-CZ"/>
      </w:rPr>
      <w:pict>
        <v:line id="Straight Connector 3" o:spid="_x0000_s4096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w:r>
    <w:r>
      <w:rPr>
        <w:noProof/>
        <w:sz w:val="2"/>
        <w:szCs w:val="2"/>
        <w:lang w:eastAsia="cs-CZ"/>
      </w:rPr>
      <w:pict>
        <v:line id="Straight Connector 2" o:spid="_x0000_s40965"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B597A" w:rsidTr="00F1715C">
      <w:tc>
        <w:tcPr>
          <w:tcW w:w="1361" w:type="dxa"/>
          <w:tcMar>
            <w:left w:w="0" w:type="dxa"/>
            <w:right w:w="0" w:type="dxa"/>
          </w:tcMar>
          <w:vAlign w:val="bottom"/>
        </w:tcPr>
        <w:p w:rsidR="00CB597A" w:rsidRPr="00B8518B" w:rsidRDefault="000A4628" w:rsidP="00460660">
          <w:pPr>
            <w:pStyle w:val="Zpat"/>
            <w:rPr>
              <w:rStyle w:val="slostrnky"/>
            </w:rPr>
          </w:pPr>
          <w:r w:rsidRPr="00B8518B">
            <w:rPr>
              <w:rStyle w:val="slostrnky"/>
            </w:rPr>
            <w:fldChar w:fldCharType="begin"/>
          </w:r>
          <w:r w:rsidR="00CB597A" w:rsidRPr="00B8518B">
            <w:rPr>
              <w:rStyle w:val="slostrnky"/>
            </w:rPr>
            <w:instrText>PAGE   \* MERGEFORMAT</w:instrText>
          </w:r>
          <w:r w:rsidRPr="00B8518B">
            <w:rPr>
              <w:rStyle w:val="slostrnky"/>
            </w:rPr>
            <w:fldChar w:fldCharType="separate"/>
          </w:r>
          <w:r w:rsidR="006A04F4">
            <w:rPr>
              <w:rStyle w:val="slostrnky"/>
              <w:noProof/>
            </w:rPr>
            <w:t>1</w:t>
          </w:r>
          <w:r w:rsidRPr="00B8518B">
            <w:rPr>
              <w:rStyle w:val="slostrnky"/>
            </w:rPr>
            <w:fldChar w:fldCharType="end"/>
          </w:r>
          <w:r w:rsidR="00CB597A" w:rsidRPr="00B8518B">
            <w:rPr>
              <w:rStyle w:val="slostrnky"/>
            </w:rPr>
            <w:t>/</w:t>
          </w:r>
          <w:r w:rsidR="006A04F4">
            <w:fldChar w:fldCharType="begin"/>
          </w:r>
          <w:r w:rsidR="006A04F4">
            <w:instrText xml:space="preserve"> NUMPAGES   \* MERGEFORMAT </w:instrText>
          </w:r>
          <w:r w:rsidR="006A04F4">
            <w:fldChar w:fldCharType="separate"/>
          </w:r>
          <w:r w:rsidR="006A04F4" w:rsidRPr="006A04F4">
            <w:rPr>
              <w:rStyle w:val="slostrnky"/>
              <w:noProof/>
            </w:rPr>
            <w:t>4</w:t>
          </w:r>
          <w:r w:rsidR="006A04F4">
            <w:rPr>
              <w:rStyle w:val="slostrnky"/>
              <w:noProof/>
            </w:rPr>
            <w:fldChar w:fldCharType="end"/>
          </w:r>
        </w:p>
      </w:tc>
      <w:tc>
        <w:tcPr>
          <w:tcW w:w="3458" w:type="dxa"/>
          <w:shd w:val="clear" w:color="auto" w:fill="auto"/>
          <w:tcMar>
            <w:left w:w="0" w:type="dxa"/>
            <w:right w:w="0" w:type="dxa"/>
          </w:tcMar>
        </w:tcPr>
        <w:p w:rsidR="00CB597A" w:rsidRDefault="00CB597A" w:rsidP="00CB597A">
          <w:pPr>
            <w:pStyle w:val="Zpat"/>
          </w:pPr>
          <w:r>
            <w:t>Správa železnic, státní organizace</w:t>
          </w:r>
        </w:p>
        <w:p w:rsidR="00CB597A" w:rsidRDefault="00CB597A" w:rsidP="00CB597A">
          <w:pPr>
            <w:pStyle w:val="Zpat"/>
          </w:pPr>
          <w:r>
            <w:t>zapsána v obchodním rejstříku vedeném Městským soudem v Praze, spisová značka A 48384</w:t>
          </w:r>
        </w:p>
      </w:tc>
      <w:tc>
        <w:tcPr>
          <w:tcW w:w="2835" w:type="dxa"/>
          <w:shd w:val="clear" w:color="auto" w:fill="auto"/>
          <w:tcMar>
            <w:left w:w="0" w:type="dxa"/>
            <w:right w:w="0" w:type="dxa"/>
          </w:tcMar>
        </w:tcPr>
        <w:p w:rsidR="00CB597A" w:rsidRDefault="00CB597A" w:rsidP="00CB597A">
          <w:pPr>
            <w:pStyle w:val="Zpat"/>
          </w:pPr>
          <w:r>
            <w:t>Sídlo: Dlážděná 1003/7, 110 00 Praha 1</w:t>
          </w:r>
        </w:p>
        <w:p w:rsidR="00CB597A" w:rsidRDefault="00CB597A" w:rsidP="00CB597A">
          <w:pPr>
            <w:pStyle w:val="Zpat"/>
          </w:pPr>
          <w:r>
            <w:t>IČO: 709 94 234 DIČ: CZ 709 94 234</w:t>
          </w:r>
        </w:p>
        <w:p w:rsidR="00CB597A" w:rsidRDefault="00CB597A" w:rsidP="00CB597A">
          <w:pPr>
            <w:pStyle w:val="Zpat"/>
          </w:pPr>
          <w:r>
            <w:t>www.szdc.cz</w:t>
          </w:r>
        </w:p>
      </w:tc>
      <w:tc>
        <w:tcPr>
          <w:tcW w:w="2921" w:type="dxa"/>
        </w:tcPr>
        <w:p w:rsidR="00CB597A" w:rsidRPr="00D84AC6" w:rsidRDefault="00CB597A" w:rsidP="00CB597A">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CB597A" w:rsidRPr="00D84AC6" w:rsidRDefault="00CB597A" w:rsidP="00CB597A">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CB597A" w:rsidRPr="00D84AC6" w:rsidRDefault="00CB597A" w:rsidP="00CB597A">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CB597A" w:rsidRDefault="00CB597A" w:rsidP="00CB597A">
          <w:pPr>
            <w:pStyle w:val="Zpat"/>
          </w:pPr>
        </w:p>
      </w:tc>
    </w:tr>
  </w:tbl>
  <w:p w:rsidR="00CB597A" w:rsidRPr="00B8518B" w:rsidRDefault="006A04F4" w:rsidP="00460660">
    <w:pPr>
      <w:pStyle w:val="Zpat"/>
      <w:rPr>
        <w:sz w:val="2"/>
        <w:szCs w:val="2"/>
      </w:rPr>
    </w:pPr>
    <w:r>
      <w:rPr>
        <w:noProof/>
        <w:sz w:val="2"/>
        <w:szCs w:val="2"/>
        <w:lang w:eastAsia="cs-CZ"/>
      </w:rPr>
      <w:pict>
        <v:line id="Straight Connector 7" o:spid="_x0000_s40962"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w:r>
    <w:r>
      <w:rPr>
        <w:noProof/>
        <w:sz w:val="2"/>
        <w:szCs w:val="2"/>
        <w:lang w:eastAsia="cs-CZ"/>
      </w:rPr>
      <w:pict>
        <v:line id="Straight Connector 10" o:spid="_x0000_s40961"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w:r>
  </w:p>
  <w:p w:rsidR="00CB597A" w:rsidRPr="00460660" w:rsidRDefault="00CB597A">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97A" w:rsidRDefault="00CB597A" w:rsidP="00962258">
      <w:pPr>
        <w:spacing w:after="0" w:line="240" w:lineRule="auto"/>
      </w:pPr>
      <w:r>
        <w:separator/>
      </w:r>
    </w:p>
  </w:footnote>
  <w:footnote w:type="continuationSeparator" w:id="0">
    <w:p w:rsidR="00CB597A" w:rsidRDefault="00CB597A" w:rsidP="00962258">
      <w:pPr>
        <w:spacing w:after="0" w:line="240" w:lineRule="auto"/>
      </w:pPr>
      <w:r>
        <w:continuationSeparator/>
      </w:r>
    </w:p>
  </w:footnote>
  <w:footnote w:id="1">
    <w:p w:rsidR="00273528" w:rsidRDefault="00273528" w:rsidP="00273528">
      <w:pPr>
        <w:pStyle w:val="Textpoznpodarou"/>
        <w:jc w:val="both"/>
        <w:rPr>
          <w:rFonts w:ascii="Segoe UI" w:hAnsi="Segoe UI" w:cs="Segoe UI"/>
        </w:rPr>
      </w:pPr>
      <w:r>
        <w:rPr>
          <w:rStyle w:val="Znakapoznpodarou"/>
          <w:rFonts w:ascii="Segoe UI" w:hAnsi="Segoe UI" w:cs="Segoe UI"/>
        </w:rPr>
        <w:footnoteRef/>
      </w:r>
      <w:r>
        <w:rPr>
          <w:rFonts w:ascii="Segoe UI" w:hAnsi="Segoe UI" w:cs="Segoe UI"/>
        </w:rPr>
        <w:t xml:space="preserve"> Viz např. směrnice Evropského parlamentu a Rady 2004/49/ES ze dne 29. dubna 2004 o bezpečnosti železnic Společenství a o změně směrnice Rady 95/18/ES o vydávání licencí železničním podnikům a směrnice 2001/14/ES o přidělování kapacity železniční infrastruktury, zpoplatnění železniční infrastruktury a o vydávání osvědčení o bezpečnosti (Směrnice o bezpečnosti železnic), směrnice Evropského parlamentu a Rady 2008/57/ES ze dne 17. června 2008 o interoperabilitě železničního systému ve Společenství či nařízení Evropského parlamentu a Rady (EU) č. 305/2011 ze dne 9. března 2011, kterým se stanoví harmonizované podmínky pro uvádění stavebních výrobků na trh a kterým se zrušuje směrnice Rady 89/106/EHS.</w:t>
      </w:r>
    </w:p>
    <w:p w:rsidR="00273528" w:rsidRDefault="00273528" w:rsidP="00273528">
      <w:pPr>
        <w:pStyle w:val="Textpoznpodarou"/>
        <w:rPr>
          <w:rFonts w:ascii="Times New Roman" w:hAnsi="Times New Roman" w:cs="Times New Roma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597A" w:rsidTr="00C02D0A">
      <w:trPr>
        <w:trHeight w:hRule="exact" w:val="454"/>
      </w:trPr>
      <w:tc>
        <w:tcPr>
          <w:tcW w:w="1361" w:type="dxa"/>
          <w:tcMar>
            <w:top w:w="57" w:type="dxa"/>
            <w:left w:w="0" w:type="dxa"/>
            <w:right w:w="0" w:type="dxa"/>
          </w:tcMar>
        </w:tcPr>
        <w:p w:rsidR="00CB597A" w:rsidRPr="00B8518B" w:rsidRDefault="00CB597A" w:rsidP="00523EA7">
          <w:pPr>
            <w:pStyle w:val="Zpat"/>
            <w:rPr>
              <w:rStyle w:val="slostrnky"/>
            </w:rPr>
          </w:pPr>
        </w:p>
      </w:tc>
      <w:tc>
        <w:tcPr>
          <w:tcW w:w="3458" w:type="dxa"/>
          <w:shd w:val="clear" w:color="auto" w:fill="auto"/>
          <w:tcMar>
            <w:top w:w="57" w:type="dxa"/>
            <w:left w:w="0" w:type="dxa"/>
            <w:right w:w="0" w:type="dxa"/>
          </w:tcMar>
        </w:tcPr>
        <w:p w:rsidR="00CB597A" w:rsidRDefault="00CB597A" w:rsidP="00523EA7">
          <w:pPr>
            <w:pStyle w:val="Zpat"/>
          </w:pPr>
        </w:p>
      </w:tc>
      <w:tc>
        <w:tcPr>
          <w:tcW w:w="5698" w:type="dxa"/>
          <w:shd w:val="clear" w:color="auto" w:fill="auto"/>
          <w:tcMar>
            <w:top w:w="57" w:type="dxa"/>
            <w:left w:w="0" w:type="dxa"/>
            <w:right w:w="0" w:type="dxa"/>
          </w:tcMar>
        </w:tcPr>
        <w:p w:rsidR="00CB597A" w:rsidRPr="00D6163D" w:rsidRDefault="00CB597A" w:rsidP="00D6163D">
          <w:pPr>
            <w:pStyle w:val="Druhdokumentu"/>
          </w:pPr>
        </w:p>
      </w:tc>
    </w:tr>
  </w:tbl>
  <w:p w:rsidR="00CB597A" w:rsidRPr="00D6163D" w:rsidRDefault="00CB597A">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597A" w:rsidTr="00F1715C">
      <w:trPr>
        <w:trHeight w:hRule="exact" w:val="936"/>
      </w:trPr>
      <w:tc>
        <w:tcPr>
          <w:tcW w:w="1361" w:type="dxa"/>
          <w:tcMar>
            <w:left w:w="0" w:type="dxa"/>
            <w:right w:w="0" w:type="dxa"/>
          </w:tcMar>
        </w:tcPr>
        <w:p w:rsidR="00CB597A" w:rsidRPr="00B8518B" w:rsidRDefault="00CB597A" w:rsidP="00FC6389">
          <w:pPr>
            <w:pStyle w:val="Zpat"/>
            <w:rPr>
              <w:rStyle w:val="slostrnky"/>
            </w:rPr>
          </w:pPr>
          <w:r>
            <w:rPr>
              <w:noProof/>
              <w:lang w:eastAsia="cs-CZ"/>
            </w:rPr>
            <w:drawing>
              <wp:anchor distT="0" distB="0" distL="114300" distR="114300" simplePos="0" relativeHeight="251683840" behindDoc="0" locked="1" layoutInCell="1" allowOverlap="1" wp14:anchorId="5F8D670C" wp14:editId="4EB72F2B">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anchor>
            </w:drawing>
          </w:r>
          <w:r w:rsidR="006A04F4">
            <w:rPr>
              <w:noProof/>
              <w:lang w:eastAsia="cs-CZ"/>
            </w:rPr>
            <w:pict>
              <v:shape id="Half Frame 8" o:spid="_x0000_s40964"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w:r>
        </w:p>
      </w:tc>
      <w:tc>
        <w:tcPr>
          <w:tcW w:w="3458" w:type="dxa"/>
          <w:shd w:val="clear" w:color="auto" w:fill="auto"/>
          <w:tcMar>
            <w:left w:w="0" w:type="dxa"/>
            <w:right w:w="0" w:type="dxa"/>
          </w:tcMar>
        </w:tcPr>
        <w:p w:rsidR="00CB597A" w:rsidRDefault="00CB597A" w:rsidP="00FC6389">
          <w:pPr>
            <w:pStyle w:val="Zpat"/>
          </w:pPr>
        </w:p>
      </w:tc>
      <w:tc>
        <w:tcPr>
          <w:tcW w:w="5698" w:type="dxa"/>
          <w:shd w:val="clear" w:color="auto" w:fill="auto"/>
          <w:tcMar>
            <w:left w:w="0" w:type="dxa"/>
            <w:right w:w="0" w:type="dxa"/>
          </w:tcMar>
        </w:tcPr>
        <w:p w:rsidR="00CB597A" w:rsidRPr="00D6163D" w:rsidRDefault="00CB597A" w:rsidP="00FC6389">
          <w:pPr>
            <w:pStyle w:val="Druhdokumentu"/>
          </w:pPr>
        </w:p>
      </w:tc>
    </w:tr>
    <w:tr w:rsidR="00CB597A" w:rsidTr="00F64786">
      <w:trPr>
        <w:trHeight w:hRule="exact" w:val="452"/>
      </w:trPr>
      <w:tc>
        <w:tcPr>
          <w:tcW w:w="1361" w:type="dxa"/>
          <w:tcMar>
            <w:left w:w="0" w:type="dxa"/>
            <w:right w:w="0" w:type="dxa"/>
          </w:tcMar>
        </w:tcPr>
        <w:p w:rsidR="00CB597A" w:rsidRPr="00B8518B" w:rsidRDefault="00CB597A" w:rsidP="00FC6389">
          <w:pPr>
            <w:pStyle w:val="Zpat"/>
            <w:rPr>
              <w:rStyle w:val="slostrnky"/>
            </w:rPr>
          </w:pPr>
        </w:p>
      </w:tc>
      <w:tc>
        <w:tcPr>
          <w:tcW w:w="3458" w:type="dxa"/>
          <w:shd w:val="clear" w:color="auto" w:fill="auto"/>
          <w:tcMar>
            <w:left w:w="0" w:type="dxa"/>
            <w:right w:w="0" w:type="dxa"/>
          </w:tcMar>
        </w:tcPr>
        <w:p w:rsidR="00CB597A" w:rsidRDefault="00CB597A" w:rsidP="00FC6389">
          <w:pPr>
            <w:pStyle w:val="Zpat"/>
          </w:pPr>
        </w:p>
      </w:tc>
      <w:tc>
        <w:tcPr>
          <w:tcW w:w="5698" w:type="dxa"/>
          <w:shd w:val="clear" w:color="auto" w:fill="auto"/>
          <w:tcMar>
            <w:left w:w="0" w:type="dxa"/>
            <w:right w:w="0" w:type="dxa"/>
          </w:tcMar>
        </w:tcPr>
        <w:p w:rsidR="00CB597A" w:rsidRDefault="00CB597A" w:rsidP="00FC6389">
          <w:pPr>
            <w:pStyle w:val="Druhdokumentu"/>
            <w:rPr>
              <w:noProof/>
            </w:rPr>
          </w:pPr>
        </w:p>
      </w:tc>
    </w:tr>
  </w:tbl>
  <w:p w:rsidR="00CB597A" w:rsidRPr="00D6163D" w:rsidRDefault="006A04F4" w:rsidP="00FC6389">
    <w:pPr>
      <w:pStyle w:val="Zhlav"/>
      <w:rPr>
        <w:sz w:val="8"/>
        <w:szCs w:val="8"/>
      </w:rPr>
    </w:pPr>
    <w:r>
      <w:rPr>
        <w:noProof/>
        <w:lang w:eastAsia="cs-CZ"/>
      </w:rPr>
      <w:pict>
        <v:shape id="Half Frame 11" o:spid="_x0000_s40963"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w:r>
  </w:p>
  <w:p w:rsidR="00CB597A" w:rsidRPr="00460660" w:rsidRDefault="00CB597A">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258"/>
        </w:tabs>
        <w:ind w:left="7258"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4A8704B"/>
    <w:multiLevelType w:val="hybridMultilevel"/>
    <w:tmpl w:val="7A080CC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nsid w:val="2BF76403"/>
    <w:multiLevelType w:val="multilevel"/>
    <w:tmpl w:val="0D34D660"/>
    <w:numStyleLink w:val="ListBulletmultilevel"/>
  </w:abstractNum>
  <w:abstractNum w:abstractNumId="6">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7">
    <w:nsid w:val="5447671F"/>
    <w:multiLevelType w:val="multilevel"/>
    <w:tmpl w:val="C7B643E8"/>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nsid w:val="74070991"/>
    <w:multiLevelType w:val="multilevel"/>
    <w:tmpl w:val="CABE99FC"/>
    <w:numStyleLink w:val="ListNumbermultilevel"/>
  </w:abstractNum>
  <w:num w:numId="1">
    <w:abstractNumId w:val="3"/>
  </w:num>
  <w:num w:numId="2">
    <w:abstractNumId w:val="2"/>
  </w:num>
  <w:num w:numId="3">
    <w:abstractNumId w:val="5"/>
  </w:num>
  <w:num w:numId="4">
    <w:abstractNumId w:val="8"/>
  </w:num>
  <w:num w:numId="5">
    <w:abstractNumId w:val="0"/>
  </w:num>
  <w:num w:numId="6">
    <w:abstractNumId w:val="6"/>
  </w:num>
  <w:num w:numId="7">
    <w:abstractNumId w:val="1"/>
  </w:num>
  <w:num w:numId="8">
    <w:abstractNumId w:val="7"/>
  </w:num>
  <w:num w:numId="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LockTheme/>
  <w:styleLockQFSet/>
  <w:defaultTabStop w:val="708"/>
  <w:hyphenationZone w:val="425"/>
  <w:doNotShadeFormData/>
  <w:characterSpacingControl w:val="doNotCompress"/>
  <w:hdrShapeDefaults>
    <o:shapedefaults v:ext="edit" spidmax="40967"/>
    <o:shapelayout v:ext="edit">
      <o:idmap v:ext="edit" data="40"/>
    </o:shapelayout>
  </w:hdrShapeDefaults>
  <w:footnotePr>
    <w:footnote w:id="-1"/>
    <w:footnote w:id="0"/>
  </w:footnotePr>
  <w:endnotePr>
    <w:endnote w:id="-1"/>
    <w:endnote w:id="0"/>
  </w:endnotePr>
  <w:compat>
    <w:compatSetting w:name="compatibilityMode" w:uri="http://schemas.microsoft.com/office/word" w:val="12"/>
  </w:compat>
  <w:rsids>
    <w:rsidRoot w:val="00891334"/>
    <w:rsid w:val="00000DA0"/>
    <w:rsid w:val="00033432"/>
    <w:rsid w:val="000335CC"/>
    <w:rsid w:val="00050703"/>
    <w:rsid w:val="00072C1E"/>
    <w:rsid w:val="000A4628"/>
    <w:rsid w:val="000B3A82"/>
    <w:rsid w:val="000B6C7E"/>
    <w:rsid w:val="000B7907"/>
    <w:rsid w:val="000C0429"/>
    <w:rsid w:val="000C45E8"/>
    <w:rsid w:val="00114472"/>
    <w:rsid w:val="00133EB5"/>
    <w:rsid w:val="00170EC5"/>
    <w:rsid w:val="001747C1"/>
    <w:rsid w:val="0018596A"/>
    <w:rsid w:val="001B69C2"/>
    <w:rsid w:val="001C4DA0"/>
    <w:rsid w:val="00207DF5"/>
    <w:rsid w:val="00267369"/>
    <w:rsid w:val="0026785D"/>
    <w:rsid w:val="00273528"/>
    <w:rsid w:val="002C31BF"/>
    <w:rsid w:val="002E0CD7"/>
    <w:rsid w:val="002F026B"/>
    <w:rsid w:val="00357BC6"/>
    <w:rsid w:val="0037111D"/>
    <w:rsid w:val="003756B9"/>
    <w:rsid w:val="003956C6"/>
    <w:rsid w:val="003A3522"/>
    <w:rsid w:val="003E6B9A"/>
    <w:rsid w:val="003E75CE"/>
    <w:rsid w:val="0041380F"/>
    <w:rsid w:val="00450F07"/>
    <w:rsid w:val="00453CD3"/>
    <w:rsid w:val="00455BC7"/>
    <w:rsid w:val="00460660"/>
    <w:rsid w:val="00460CCB"/>
    <w:rsid w:val="00477370"/>
    <w:rsid w:val="00486107"/>
    <w:rsid w:val="00491827"/>
    <w:rsid w:val="004926B0"/>
    <w:rsid w:val="004A7C69"/>
    <w:rsid w:val="004C4399"/>
    <w:rsid w:val="004C69ED"/>
    <w:rsid w:val="004C787C"/>
    <w:rsid w:val="004F4B9B"/>
    <w:rsid w:val="00501654"/>
    <w:rsid w:val="00511AB9"/>
    <w:rsid w:val="00515A53"/>
    <w:rsid w:val="00523EA7"/>
    <w:rsid w:val="00542527"/>
    <w:rsid w:val="00551D1F"/>
    <w:rsid w:val="00553375"/>
    <w:rsid w:val="00563F97"/>
    <w:rsid w:val="005658A6"/>
    <w:rsid w:val="005720E7"/>
    <w:rsid w:val="005722BB"/>
    <w:rsid w:val="005736B7"/>
    <w:rsid w:val="00575E5A"/>
    <w:rsid w:val="00584E2A"/>
    <w:rsid w:val="00596C7E"/>
    <w:rsid w:val="005A64E9"/>
    <w:rsid w:val="005B5EE9"/>
    <w:rsid w:val="005D5610"/>
    <w:rsid w:val="005F195E"/>
    <w:rsid w:val="006104F6"/>
    <w:rsid w:val="0061068E"/>
    <w:rsid w:val="00660AD3"/>
    <w:rsid w:val="006A04F4"/>
    <w:rsid w:val="006A5570"/>
    <w:rsid w:val="006A689C"/>
    <w:rsid w:val="006B3D79"/>
    <w:rsid w:val="006E0578"/>
    <w:rsid w:val="006E314D"/>
    <w:rsid w:val="006E7F06"/>
    <w:rsid w:val="006F6B40"/>
    <w:rsid w:val="00710723"/>
    <w:rsid w:val="00712ED1"/>
    <w:rsid w:val="00723ED1"/>
    <w:rsid w:val="00735ED4"/>
    <w:rsid w:val="00743525"/>
    <w:rsid w:val="007531A0"/>
    <w:rsid w:val="0076286B"/>
    <w:rsid w:val="00764595"/>
    <w:rsid w:val="00766846"/>
    <w:rsid w:val="0077673A"/>
    <w:rsid w:val="007846E1"/>
    <w:rsid w:val="007B570C"/>
    <w:rsid w:val="007D6B20"/>
    <w:rsid w:val="007E4A6E"/>
    <w:rsid w:val="007F56A7"/>
    <w:rsid w:val="00807DD0"/>
    <w:rsid w:val="00813F11"/>
    <w:rsid w:val="00814739"/>
    <w:rsid w:val="00816533"/>
    <w:rsid w:val="00891334"/>
    <w:rsid w:val="008A3568"/>
    <w:rsid w:val="008D03B9"/>
    <w:rsid w:val="008F18D6"/>
    <w:rsid w:val="00904780"/>
    <w:rsid w:val="009113A8"/>
    <w:rsid w:val="00922385"/>
    <w:rsid w:val="009223DF"/>
    <w:rsid w:val="00936091"/>
    <w:rsid w:val="00940D8A"/>
    <w:rsid w:val="00962258"/>
    <w:rsid w:val="009678B7"/>
    <w:rsid w:val="00982411"/>
    <w:rsid w:val="00992D9C"/>
    <w:rsid w:val="00996CB8"/>
    <w:rsid w:val="009A7568"/>
    <w:rsid w:val="009B2E97"/>
    <w:rsid w:val="009B3C69"/>
    <w:rsid w:val="009B72CC"/>
    <w:rsid w:val="009E07F4"/>
    <w:rsid w:val="009F392E"/>
    <w:rsid w:val="00A44328"/>
    <w:rsid w:val="00A6177B"/>
    <w:rsid w:val="00A66136"/>
    <w:rsid w:val="00AA4CBB"/>
    <w:rsid w:val="00AA65FA"/>
    <w:rsid w:val="00AA7351"/>
    <w:rsid w:val="00AD056F"/>
    <w:rsid w:val="00AD2773"/>
    <w:rsid w:val="00AD6731"/>
    <w:rsid w:val="00AE1DDE"/>
    <w:rsid w:val="00B15B5E"/>
    <w:rsid w:val="00B15D0D"/>
    <w:rsid w:val="00B23CA3"/>
    <w:rsid w:val="00B33CC2"/>
    <w:rsid w:val="00B3491A"/>
    <w:rsid w:val="00B45E9E"/>
    <w:rsid w:val="00B55F9C"/>
    <w:rsid w:val="00B652D1"/>
    <w:rsid w:val="00B727C5"/>
    <w:rsid w:val="00B75EE1"/>
    <w:rsid w:val="00B77481"/>
    <w:rsid w:val="00B8518B"/>
    <w:rsid w:val="00BB3740"/>
    <w:rsid w:val="00BD5319"/>
    <w:rsid w:val="00BD7E91"/>
    <w:rsid w:val="00BF374D"/>
    <w:rsid w:val="00BF6D48"/>
    <w:rsid w:val="00C02D0A"/>
    <w:rsid w:val="00C03A6E"/>
    <w:rsid w:val="00C30759"/>
    <w:rsid w:val="00C44F6A"/>
    <w:rsid w:val="00C7010B"/>
    <w:rsid w:val="00C727E5"/>
    <w:rsid w:val="00C8207D"/>
    <w:rsid w:val="00CA3AC2"/>
    <w:rsid w:val="00CB596B"/>
    <w:rsid w:val="00CB597A"/>
    <w:rsid w:val="00CB7B5A"/>
    <w:rsid w:val="00CC1E2B"/>
    <w:rsid w:val="00CD1FC4"/>
    <w:rsid w:val="00CE371D"/>
    <w:rsid w:val="00D02A4D"/>
    <w:rsid w:val="00D21061"/>
    <w:rsid w:val="00D316A7"/>
    <w:rsid w:val="00D4108E"/>
    <w:rsid w:val="00D6163D"/>
    <w:rsid w:val="00D63009"/>
    <w:rsid w:val="00D831A3"/>
    <w:rsid w:val="00D902AD"/>
    <w:rsid w:val="00DA6FFE"/>
    <w:rsid w:val="00DA7B54"/>
    <w:rsid w:val="00DC3110"/>
    <w:rsid w:val="00DD46F3"/>
    <w:rsid w:val="00DD58A6"/>
    <w:rsid w:val="00DE56F2"/>
    <w:rsid w:val="00DF116D"/>
    <w:rsid w:val="00E10710"/>
    <w:rsid w:val="00E824F1"/>
    <w:rsid w:val="00EB104F"/>
    <w:rsid w:val="00ED14BD"/>
    <w:rsid w:val="00F01440"/>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 1,cp_Odstavec se seznamem,Bullet Number,Bullet List,FooterText,numbered,Paragraphe de liste1,Bulletr List Paragraph,列出段落,列出段落1,List Paragraph21,Listeafsnit1,Parágrafo da Lista1,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semiHidden/>
    <w:unhideWhenUsed/>
    <w:rsid w:val="00273528"/>
    <w:rPr>
      <w:rFonts w:ascii="Times New Roman" w:hAnsi="Times New Roman" w:cs="Times New Roman" w:hint="default"/>
      <w:vertAlign w:val="superscript"/>
    </w:rPr>
  </w:style>
  <w:style w:type="character" w:customStyle="1" w:styleId="OdstavecseseznamemChar">
    <w:name w:val="Odstavec se seznamem Char"/>
    <w:aliases w:val="Odstavec 1 Char,cp_Odstavec se seznamem Char,Bullet Number Char,Bullet List Char,FooterText Char,numbered Char,Paragraphe de liste1 Char,Bulletr List Paragraph Char,列出段落 Char,列出段落1 Char,List Paragraph21 Char,Listeafsnit1 Char"/>
    <w:link w:val="Odstavecseseznamem"/>
    <w:uiPriority w:val="34"/>
    <w:locked/>
    <w:rsid w:val="005F195E"/>
  </w:style>
  <w:style w:type="paragraph" w:customStyle="1" w:styleId="Text1-2">
    <w:name w:val="_Text_1-2"/>
    <w:basedOn w:val="Text1-1"/>
    <w:qFormat/>
    <w:rsid w:val="00C7010B"/>
    <w:pPr>
      <w:numPr>
        <w:ilvl w:val="2"/>
      </w:numPr>
      <w:tabs>
        <w:tab w:val="clear" w:pos="1474"/>
        <w:tab w:val="num" w:pos="360"/>
        <w:tab w:val="num" w:pos="1843"/>
      </w:tabs>
      <w:ind w:left="1729" w:hanging="652"/>
    </w:pPr>
  </w:style>
  <w:style w:type="paragraph" w:customStyle="1" w:styleId="Text1-1">
    <w:name w:val="_Text_1-1"/>
    <w:basedOn w:val="Normln"/>
    <w:link w:val="Text1-1Char"/>
    <w:rsid w:val="00C7010B"/>
    <w:pPr>
      <w:numPr>
        <w:ilvl w:val="1"/>
        <w:numId w:val="7"/>
      </w:numPr>
      <w:tabs>
        <w:tab w:val="clear" w:pos="7258"/>
        <w:tab w:val="num" w:pos="737"/>
      </w:tabs>
      <w:spacing w:after="120"/>
      <w:ind w:left="737"/>
      <w:jc w:val="both"/>
    </w:pPr>
  </w:style>
  <w:style w:type="paragraph" w:customStyle="1" w:styleId="Nadpis1-1">
    <w:name w:val="_Nadpis_1-1"/>
    <w:basedOn w:val="Odstavecseseznamem"/>
    <w:next w:val="Text1-1"/>
    <w:qFormat/>
    <w:rsid w:val="00C7010B"/>
    <w:pPr>
      <w:keepNext/>
      <w:numPr>
        <w:numId w:val="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C701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17272850">
      <w:bodyDiv w:val="1"/>
      <w:marLeft w:val="0"/>
      <w:marRight w:val="0"/>
      <w:marTop w:val="0"/>
      <w:marBottom w:val="0"/>
      <w:divBdr>
        <w:top w:val="none" w:sz="0" w:space="0" w:color="auto"/>
        <w:left w:val="none" w:sz="0" w:space="0" w:color="auto"/>
        <w:bottom w:val="none" w:sz="0" w:space="0" w:color="auto"/>
        <w:right w:val="none" w:sz="0" w:space="0" w:color="auto"/>
      </w:divBdr>
    </w:div>
    <w:div w:id="911308996">
      <w:bodyDiv w:val="1"/>
      <w:marLeft w:val="0"/>
      <w:marRight w:val="0"/>
      <w:marTop w:val="0"/>
      <w:marBottom w:val="0"/>
      <w:divBdr>
        <w:top w:val="none" w:sz="0" w:space="0" w:color="auto"/>
        <w:left w:val="none" w:sz="0" w:space="0" w:color="auto"/>
        <w:bottom w:val="none" w:sz="0" w:space="0" w:color="auto"/>
        <w:right w:val="none" w:sz="0" w:space="0" w:color="auto"/>
      </w:divBdr>
    </w:div>
    <w:div w:id="926688879">
      <w:bodyDiv w:val="1"/>
      <w:marLeft w:val="0"/>
      <w:marRight w:val="0"/>
      <w:marTop w:val="0"/>
      <w:marBottom w:val="0"/>
      <w:divBdr>
        <w:top w:val="none" w:sz="0" w:space="0" w:color="auto"/>
        <w:left w:val="none" w:sz="0" w:space="0" w:color="auto"/>
        <w:bottom w:val="none" w:sz="0" w:space="0" w:color="auto"/>
        <w:right w:val="none" w:sz="0" w:space="0" w:color="auto"/>
      </w:divBdr>
    </w:div>
    <w:div w:id="11073821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06240405">
      <w:bodyDiv w:val="1"/>
      <w:marLeft w:val="0"/>
      <w:marRight w:val="0"/>
      <w:marTop w:val="0"/>
      <w:marBottom w:val="0"/>
      <w:divBdr>
        <w:top w:val="none" w:sz="0" w:space="0" w:color="auto"/>
        <w:left w:val="none" w:sz="0" w:space="0" w:color="auto"/>
        <w:bottom w:val="none" w:sz="0" w:space="0" w:color="auto"/>
        <w:right w:val="none" w:sz="0" w:space="0" w:color="auto"/>
      </w:divBdr>
    </w:div>
    <w:div w:id="1830173222">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FE8B37A-E999-4557-B810-63D7F2283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82</TotalTime>
  <Pages>4</Pages>
  <Words>2029</Words>
  <Characters>11976</Characters>
  <Application>Microsoft Office Word</Application>
  <DocSecurity>0</DocSecurity>
  <Lines>99</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13978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19</cp:revision>
  <cp:lastPrinted>2019-02-22T13:28:00Z</cp:lastPrinted>
  <dcterms:created xsi:type="dcterms:W3CDTF">2020-01-24T13:38:00Z</dcterms:created>
  <dcterms:modified xsi:type="dcterms:W3CDTF">2020-05-18T06:38:00Z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