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 xml:space="preserve">SMLOUVA O </w:t>
      </w:r>
      <w:proofErr w:type="gramStart"/>
      <w:r w:rsidRPr="005D6794">
        <w:t>DÍLO</w:t>
      </w:r>
      <w:r w:rsidR="006F5F96">
        <w:t xml:space="preserve">                             </w:t>
      </w:r>
      <w:r w:rsidRPr="005D6794">
        <w:t xml:space="preserve"> NA</w:t>
      </w:r>
      <w:proofErr w:type="gramEnd"/>
      <w:r w:rsidRPr="005D6794">
        <w:t xml:space="preserve"> </w:t>
      </w:r>
      <w:r w:rsidR="00F91101">
        <w:t>VÝKON ČINNOSTI KOORDINÁTORA bezpeČNOSTI A OCHRANY ZDRAVÍ PŘI PRÁCI</w:t>
      </w:r>
      <w:r w:rsidR="00512D3A">
        <w:t xml:space="preserve"> NA STAVENIŠTI VE FÁZI REALIZACE</w:t>
      </w:r>
    </w:p>
    <w:p w:rsidR="00D329D9" w:rsidRDefault="00F422D3" w:rsidP="00B42F40">
      <w:pPr>
        <w:pStyle w:val="Titul2"/>
      </w:pPr>
      <w:r>
        <w:t xml:space="preserve">Název zakázky: </w:t>
      </w:r>
    </w:p>
    <w:p w:rsidR="00F422D3" w:rsidRDefault="00F422D3" w:rsidP="00B42F40">
      <w:pPr>
        <w:pStyle w:val="Titul2"/>
      </w:pPr>
      <w:r>
        <w:t>„</w:t>
      </w:r>
      <w:r w:rsidR="00D329D9" w:rsidRPr="00D329D9">
        <w:t>Dětřichov nad Bystřicí ON –</w:t>
      </w:r>
      <w:r w:rsidR="00D329D9">
        <w:t xml:space="preserve"> </w:t>
      </w:r>
      <w:r w:rsidR="00D329D9" w:rsidRPr="00D329D9">
        <w:t>rekonstrukce,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8A0271" w:rsidP="00F91101">
      <w:pPr>
        <w:spacing w:after="120"/>
        <w:ind w:left="567"/>
        <w:jc w:val="both"/>
        <w:rPr>
          <w:rFonts w:ascii="Verdana" w:hAnsi="Verdana" w:cs="Calibri"/>
        </w:rPr>
      </w:pPr>
      <w:r w:rsidRPr="008A0271">
        <w:t>Mgr. Jan Foldyna</w:t>
      </w:r>
      <w:r w:rsidR="00F91101" w:rsidRPr="008A0271">
        <w:rPr>
          <w:rFonts w:ascii="Verdana" w:hAnsi="Verdana" w:cs="Calibri"/>
        </w:rPr>
        <w:t xml:space="preserve">, tel.: </w:t>
      </w:r>
      <w:r w:rsidRPr="008A0271">
        <w:t>601 160 009</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8A0271" w:rsidP="00F91101">
      <w:pPr>
        <w:spacing w:after="120"/>
        <w:ind w:left="567"/>
        <w:jc w:val="both"/>
        <w:rPr>
          <w:rFonts w:ascii="Verdana" w:hAnsi="Verdana" w:cs="Calibri"/>
        </w:rPr>
      </w:pPr>
      <w:r>
        <w:t xml:space="preserve">Pavel Divín </w:t>
      </w:r>
      <w:r w:rsidR="00F91101" w:rsidRPr="005C7EED">
        <w:rPr>
          <w:rFonts w:ascii="Verdana" w:hAnsi="Verdana" w:cs="Calibri"/>
        </w:rPr>
        <w:t xml:space="preserve">tel.: </w:t>
      </w:r>
      <w:r>
        <w:t>724 932 367</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8A0271" w:rsidP="00F91101">
      <w:pPr>
        <w:pStyle w:val="Textbezodsazen"/>
        <w:ind w:left="567"/>
      </w:pPr>
      <w:r>
        <w:t>Ing. Jarmila Plesníková</w:t>
      </w:r>
      <w:r w:rsidR="00F91101" w:rsidRPr="005C7EED">
        <w:rPr>
          <w:rFonts w:ascii="Verdana" w:hAnsi="Verdana" w:cs="Calibri"/>
        </w:rPr>
        <w:t xml:space="preserve"> tel.: </w:t>
      </w:r>
      <w:r>
        <w:t>702 164 087</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F422D3" w:rsidRDefault="00F422D3" w:rsidP="00B42F40">
      <w:pPr>
        <w:pStyle w:val="Textbezodsazen"/>
      </w:pPr>
      <w:r>
        <w:t xml:space="preserve">ISPROFOND: </w:t>
      </w:r>
      <w:r w:rsidR="004D22DF">
        <w:t>581352</w:t>
      </w:r>
      <w:r w:rsidR="004D22DF" w:rsidRPr="004D22DF">
        <w:t>0037</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bookmarkStart w:id="0" w:name="_GoBack"/>
      <w:bookmarkEnd w:id="0"/>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proofErr w:type="gramStart"/>
      <w:r w:rsidR="00AF4519">
        <w:rPr>
          <w:highlight w:val="yellow"/>
        </w:rPr>
        <w:t>DODAVATEL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lastRenderedPageBreak/>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D329D9">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F4487C">
        <w:rPr>
          <w:b/>
        </w:rPr>
        <w:t>„</w:t>
      </w:r>
      <w:r w:rsidR="00D329D9" w:rsidRPr="00F4487C">
        <w:rPr>
          <w:rFonts w:ascii="Verdana" w:hAnsi="Verdana" w:cs="Calibri"/>
          <w:b/>
        </w:rPr>
        <w:t>Dětřichov nad Bystřicí ON – rekonstrukce</w:t>
      </w:r>
      <w:r w:rsidR="00F91101" w:rsidRPr="00F4487C">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lastRenderedPageBreak/>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deník koordinátora se záznamy o prováděné činnosti, o výsledcích kontrol, rozsahu denní kontrolní činnosti, zjištěných závadách, odpovědných osobách, </w:t>
      </w:r>
      <w:r w:rsidRPr="005C7EED">
        <w:rPr>
          <w:rFonts w:ascii="Verdana" w:hAnsi="Verdana" w:cs="Calibri"/>
        </w:rPr>
        <w:lastRenderedPageBreak/>
        <w:t>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lastRenderedPageBreak/>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w:t>
      </w:r>
      <w:r w:rsidRPr="005C7EED">
        <w:lastRenderedPageBreak/>
        <w:t xml:space="preserve">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lastRenderedPageBreak/>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bezodkladně po nabytí účinnosti této smlouvy.</w:t>
      </w:r>
    </w:p>
    <w:p w:rsidR="00F91101" w:rsidRPr="005C7EED" w:rsidRDefault="00F91101" w:rsidP="00DC1143">
      <w:pPr>
        <w:pStyle w:val="Text1-2"/>
        <w:tabs>
          <w:tab w:val="clear" w:pos="1474"/>
        </w:tabs>
        <w:ind w:left="737"/>
      </w:pPr>
      <w:r w:rsidRPr="005C7EED">
        <w:t xml:space="preserve">Ukončení výkonu </w:t>
      </w:r>
      <w:r w:rsidRPr="008A0271">
        <w:t xml:space="preserve">činnosti: do </w:t>
      </w:r>
      <w:r w:rsidR="008A0271" w:rsidRPr="008A0271">
        <w:rPr>
          <w:rFonts w:cs="Arial"/>
          <w:b/>
        </w:rPr>
        <w:t xml:space="preserve">12 </w:t>
      </w:r>
      <w:r w:rsidRPr="008A0271">
        <w:rPr>
          <w:b/>
        </w:rPr>
        <w:t>měsíců</w:t>
      </w:r>
      <w:r w:rsidRPr="008A0271">
        <w:t xml:space="preserve"> ode dne</w:t>
      </w:r>
      <w:r w:rsidRPr="005C7EED">
        <w:t xml:space="preserve"> zahájení stavebních prací na předmětné stavbě, kdy je předpokládáno ukončení stavebních prací.</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w:t>
      </w:r>
      <w:r w:rsidRPr="005C7EED">
        <w:lastRenderedPageBreak/>
        <w:t xml:space="preserve">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 xml:space="preserve">em, jím pověřenou osobou či kontrolním orgánem určený postup a metodiku </w:t>
      </w:r>
      <w:r w:rsidRPr="005C7EED">
        <w:lastRenderedPageBreak/>
        <w:t>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095319" w:rsidRPr="00095319" w:rsidRDefault="00095319"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 xml:space="preserve">o registru smluv, ve znění pozdějších předpisů (dále jen „ZRS“), berou smluvní </w:t>
      </w:r>
      <w:r w:rsidRPr="005C7EED">
        <w:lastRenderedPageBreak/>
        <w:t>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lastRenderedPageBreak/>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2F67A8" w:rsidRDefault="002F67A8" w:rsidP="009F0867">
      <w:pPr>
        <w:pStyle w:val="Textbezodsazen"/>
      </w:pPr>
    </w:p>
    <w:p w:rsidR="002F67A8" w:rsidRDefault="002F67A8" w:rsidP="009F0867">
      <w:pPr>
        <w:pStyle w:val="Textbezodsazen"/>
      </w:pPr>
    </w:p>
    <w:p w:rsidR="002F67A8" w:rsidRDefault="002F67A8"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2F67A8" w:rsidRDefault="002F67A8"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2F67A8" w:rsidRDefault="002F67A8" w:rsidP="002F67A8">
      <w:pPr>
        <w:pStyle w:val="RLProhlensmluvnchstran"/>
        <w:jc w:val="left"/>
        <w:rPr>
          <w:rFonts w:ascii="Verdana" w:hAnsi="Verdana"/>
          <w:b w:val="0"/>
          <w:sz w:val="18"/>
          <w:szCs w:val="18"/>
          <w:lang w:val="cs-CZ"/>
        </w:rPr>
      </w:pPr>
    </w:p>
    <w:p w:rsidR="002F67A8" w:rsidRDefault="002F67A8" w:rsidP="002F67A8">
      <w:pPr>
        <w:pStyle w:val="RLProhlensmluvnchstran"/>
        <w:jc w:val="left"/>
        <w:rPr>
          <w:rFonts w:ascii="Verdana" w:hAnsi="Verdana"/>
          <w:b w:val="0"/>
          <w:sz w:val="18"/>
          <w:szCs w:val="18"/>
          <w:lang w:val="cs-CZ"/>
        </w:rPr>
      </w:pPr>
    </w:p>
    <w:p w:rsidR="002F67A8" w:rsidRDefault="002F67A8" w:rsidP="002F67A8">
      <w:pPr>
        <w:pStyle w:val="RLProhlensmluvnchstran"/>
        <w:jc w:val="left"/>
        <w:rPr>
          <w:rFonts w:ascii="Verdana" w:hAnsi="Verdana"/>
          <w:b w:val="0"/>
          <w:sz w:val="18"/>
          <w:szCs w:val="18"/>
          <w:lang w:val="cs-CZ"/>
        </w:rPr>
      </w:pPr>
    </w:p>
    <w:p w:rsidR="00F762A8" w:rsidRDefault="00FD08AA" w:rsidP="002F67A8">
      <w:pPr>
        <w:pStyle w:val="RLProhlensmluvnchstran"/>
        <w:jc w:val="left"/>
      </w:pPr>
      <w:r w:rsidRPr="005C7EED">
        <w:rPr>
          <w:rFonts w:ascii="Verdana" w:hAnsi="Verdana"/>
          <w:b w:val="0"/>
          <w:sz w:val="18"/>
          <w:szCs w:val="18"/>
        </w:rPr>
        <w:t>Tato smlouva byla uveřejněna prostřednictvím registru smluv dne</w:t>
      </w: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22D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22DF">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DD545D" w:rsidRDefault="00DD545D" w:rsidP="00DD545D">
          <w:pPr>
            <w:pStyle w:val="Zpat0"/>
            <w:rPr>
              <w:b/>
            </w:rPr>
          </w:pPr>
          <w:r w:rsidRPr="00B41CFD">
            <w:rPr>
              <w:b/>
            </w:rPr>
            <w:t>Smlouva o dílo</w:t>
          </w:r>
        </w:p>
        <w:p w:rsidR="006F5F96" w:rsidRDefault="00DD545D" w:rsidP="00DD545D">
          <w:pPr>
            <w:pStyle w:val="Zpat0"/>
          </w:pPr>
          <w:r>
            <w:rPr>
              <w:b/>
            </w:rPr>
            <w:t>Výkon činnosti koordinátora BOZP při práci na staveništi ve fázi realizace</w:t>
          </w: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95319"/>
    <w:rsid w:val="000B4EB8"/>
    <w:rsid w:val="000C41F2"/>
    <w:rsid w:val="000D22C4"/>
    <w:rsid w:val="000D27D1"/>
    <w:rsid w:val="000E1A7F"/>
    <w:rsid w:val="00106CD8"/>
    <w:rsid w:val="00111135"/>
    <w:rsid w:val="00112864"/>
    <w:rsid w:val="00114472"/>
    <w:rsid w:val="00114988"/>
    <w:rsid w:val="00115069"/>
    <w:rsid w:val="001150F2"/>
    <w:rsid w:val="00143EC0"/>
    <w:rsid w:val="001656A2"/>
    <w:rsid w:val="00165977"/>
    <w:rsid w:val="0016651F"/>
    <w:rsid w:val="00170EC5"/>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A3B57"/>
    <w:rsid w:val="002C31BF"/>
    <w:rsid w:val="002D5203"/>
    <w:rsid w:val="002D7FD6"/>
    <w:rsid w:val="002E0CD7"/>
    <w:rsid w:val="002E0CFB"/>
    <w:rsid w:val="002E5C7B"/>
    <w:rsid w:val="002F4333"/>
    <w:rsid w:val="002F67A8"/>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D22DF"/>
    <w:rsid w:val="004E6233"/>
    <w:rsid w:val="004E7A1F"/>
    <w:rsid w:val="004F4B9B"/>
    <w:rsid w:val="00502690"/>
    <w:rsid w:val="0050666E"/>
    <w:rsid w:val="00511AB9"/>
    <w:rsid w:val="00512D3A"/>
    <w:rsid w:val="00523BB5"/>
    <w:rsid w:val="00523EA7"/>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85E11"/>
    <w:rsid w:val="008A0271"/>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B3C3C"/>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CD2A8E"/>
    <w:rsid w:val="00CE047A"/>
    <w:rsid w:val="00D034A0"/>
    <w:rsid w:val="00D21061"/>
    <w:rsid w:val="00D329D9"/>
    <w:rsid w:val="00D4108E"/>
    <w:rsid w:val="00D4328E"/>
    <w:rsid w:val="00D44DBD"/>
    <w:rsid w:val="00D54AD0"/>
    <w:rsid w:val="00D6163D"/>
    <w:rsid w:val="00D74633"/>
    <w:rsid w:val="00D831A3"/>
    <w:rsid w:val="00D97BE3"/>
    <w:rsid w:val="00DA3711"/>
    <w:rsid w:val="00DA5B30"/>
    <w:rsid w:val="00DC1143"/>
    <w:rsid w:val="00DC1D10"/>
    <w:rsid w:val="00DD46F3"/>
    <w:rsid w:val="00DD545D"/>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87C"/>
    <w:rsid w:val="00F44EA1"/>
    <w:rsid w:val="00F45607"/>
    <w:rsid w:val="00F4722B"/>
    <w:rsid w:val="00F54432"/>
    <w:rsid w:val="00F659EB"/>
    <w:rsid w:val="00F762A8"/>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92E0127-0708-4D16-BABF-05A5894CF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TotalTime>
  <Pages>11</Pages>
  <Words>5004</Words>
  <Characters>29528</Characters>
  <Application>Microsoft Office Word</Application>
  <DocSecurity>0</DocSecurity>
  <Lines>246</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3</cp:revision>
  <cp:lastPrinted>2019-03-12T14:16:00Z</cp:lastPrinted>
  <dcterms:created xsi:type="dcterms:W3CDTF">2020-05-15T07:14:00Z</dcterms:created>
  <dcterms:modified xsi:type="dcterms:W3CDTF">2020-05-15T07:29:00Z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