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65D68">
        <w:rPr>
          <w:rFonts w:ascii="Verdana" w:hAnsi="Verdana"/>
          <w:sz w:val="18"/>
          <w:szCs w:val="18"/>
        </w:rPr>
        <w:t>„</w:t>
      </w:r>
      <w:bookmarkStart w:id="0" w:name="_GoBack"/>
      <w:r w:rsidR="00D65D68" w:rsidRPr="00D65D68">
        <w:rPr>
          <w:rFonts w:ascii="Verdana" w:hAnsi="Verdana"/>
          <w:b/>
          <w:sz w:val="18"/>
          <w:szCs w:val="18"/>
        </w:rPr>
        <w:t>Oprava přijímačů kolejových obvodů - III. etapa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65D6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65D68" w:rsidRPr="00D65D6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65D6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1B27A6"/>
  <w15:docId w15:val="{75F3C46B-27C4-4C2F-B509-FAD5B766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BF9C90-EE90-4936-AF84-A058ABD3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2018-11-26T13:48:00Z</dcterms:created>
  <dcterms:modified xsi:type="dcterms:W3CDTF">2020-04-29T08:10:00Z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