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13C" w:rsidRPr="00B14FF3" w:rsidRDefault="002E168F" w:rsidP="002E168F">
      <w:pPr>
        <w:pBdr>
          <w:bottom w:val="single" w:sz="4" w:space="1" w:color="auto"/>
        </w:pBdr>
        <w:spacing w:line="240" w:lineRule="auto"/>
        <w:jc w:val="both"/>
        <w:rPr>
          <w:b/>
          <w:sz w:val="32"/>
          <w:szCs w:val="32"/>
        </w:rPr>
      </w:pPr>
      <w:r w:rsidRPr="00B14FF3">
        <w:rPr>
          <w:b/>
          <w:sz w:val="32"/>
          <w:szCs w:val="32"/>
        </w:rPr>
        <w:t>Vybrané podmínky</w:t>
      </w:r>
      <w:r w:rsidR="00C6013C" w:rsidRPr="00B14FF3">
        <w:rPr>
          <w:b/>
          <w:sz w:val="32"/>
          <w:szCs w:val="32"/>
        </w:rPr>
        <w:t xml:space="preserve"> </w:t>
      </w:r>
      <w:r w:rsidR="00F16D97">
        <w:rPr>
          <w:b/>
          <w:sz w:val="32"/>
          <w:szCs w:val="32"/>
        </w:rPr>
        <w:t>do</w:t>
      </w:r>
      <w:r w:rsidR="00C6013C" w:rsidRPr="00B14FF3">
        <w:rPr>
          <w:b/>
          <w:sz w:val="32"/>
          <w:szCs w:val="32"/>
        </w:rPr>
        <w:t> </w:t>
      </w:r>
      <w:r w:rsidR="00F16D97">
        <w:rPr>
          <w:b/>
          <w:sz w:val="32"/>
          <w:szCs w:val="32"/>
        </w:rPr>
        <w:t>TZ</w:t>
      </w:r>
      <w:r w:rsidR="00BB156F">
        <w:rPr>
          <w:b/>
          <w:sz w:val="32"/>
          <w:szCs w:val="32"/>
        </w:rPr>
        <w:t xml:space="preserve"> pro ukončení kusé koleje č. 8 a 10</w:t>
      </w:r>
    </w:p>
    <w:p w:rsidR="000667EF" w:rsidRDefault="000667EF" w:rsidP="002E168F">
      <w:pPr>
        <w:spacing w:line="240" w:lineRule="auto"/>
        <w:jc w:val="both"/>
      </w:pPr>
      <w:r>
        <w:t xml:space="preserve">Instalované dynamické zarážedlo musí zajistit pohlcení požadované nárazové energie </w:t>
      </w:r>
      <w:r w:rsidR="00C11FB7">
        <w:t xml:space="preserve">tj. </w:t>
      </w:r>
      <w:r>
        <w:t>bezpečně zastavit definovaná vozidla při dané rychlosti</w:t>
      </w:r>
      <w:r w:rsidR="00BC716F">
        <w:t xml:space="preserve"> </w:t>
      </w:r>
      <w:r>
        <w:t>na pracovním úseku. Zarážedlo musí vyhovět pro zastavení nejtěžšího předpokládaného vlaku a zároveň pro uvažované nejlehčí vozidlo nesmí vyvozovat překročení limitních zpomalení</w:t>
      </w:r>
      <w:r w:rsidR="00C11FB7">
        <w:t xml:space="preserve"> vozidla</w:t>
      </w:r>
      <w:r w:rsidR="00BC716F">
        <w:t xml:space="preserve"> (v možnostech návrhu)</w:t>
      </w:r>
      <w:r>
        <w:t>.</w:t>
      </w:r>
    </w:p>
    <w:p w:rsidR="000667EF" w:rsidRDefault="000667EF" w:rsidP="002E168F">
      <w:pPr>
        <w:spacing w:line="240" w:lineRule="auto"/>
        <w:jc w:val="both"/>
      </w:pPr>
      <w:r>
        <w:t>Základní charakteristiky zarážedla:</w:t>
      </w:r>
    </w:p>
    <w:p w:rsidR="00D018E6" w:rsidRPr="00B14FF3" w:rsidRDefault="00BB156F" w:rsidP="000667EF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>p</w:t>
      </w:r>
      <w:r w:rsidR="00034225" w:rsidRPr="00B14FF3">
        <w:t>od</w:t>
      </w:r>
      <w:r w:rsidR="00BC716F">
        <w:t xml:space="preserve"> </w:t>
      </w:r>
      <w:r w:rsidR="00034225" w:rsidRPr="00B14FF3">
        <w:t xml:space="preserve">zarážedlem v koleji </w:t>
      </w:r>
      <w:r w:rsidR="00034225" w:rsidRPr="000667EF">
        <w:t>č</w:t>
      </w:r>
      <w:r w:rsidR="00034225" w:rsidRPr="00B14FF3">
        <w:t xml:space="preserve">. </w:t>
      </w:r>
      <w:r w:rsidR="00F16D97">
        <w:t xml:space="preserve">8 a 10 </w:t>
      </w:r>
      <w:r w:rsidR="00034225" w:rsidRPr="00B14FF3">
        <w:t>musí být použity</w:t>
      </w:r>
      <w:r w:rsidR="00D018E6" w:rsidRPr="00B14FF3">
        <w:t xml:space="preserve"> </w:t>
      </w:r>
      <w:r w:rsidR="00034225" w:rsidRPr="00B14FF3">
        <w:t>nové nebo neojeté kolejnice</w:t>
      </w:r>
      <w:r>
        <w:t xml:space="preserve"> a pražce </w:t>
      </w:r>
      <w:r w:rsidR="00F16D97">
        <w:t xml:space="preserve">dle </w:t>
      </w:r>
      <w:r w:rsidR="00697B9D">
        <w:t xml:space="preserve">kolejového </w:t>
      </w:r>
      <w:r w:rsidR="00F16D97">
        <w:t>plánu</w:t>
      </w:r>
      <w:r>
        <w:t>, v předepsaném úklonu, svařeno do BK</w:t>
      </w:r>
    </w:p>
    <w:p w:rsidR="00034225" w:rsidRDefault="00BC716F" w:rsidP="002E168F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 xml:space="preserve">zarážedlo </w:t>
      </w:r>
      <w:r w:rsidR="00697B9D">
        <w:t xml:space="preserve">bude </w:t>
      </w:r>
      <w:r w:rsidR="00034225" w:rsidRPr="00B14FF3">
        <w:t>vybaveno dvěm</w:t>
      </w:r>
      <w:r>
        <w:t>a</w:t>
      </w:r>
      <w:r w:rsidR="00034225" w:rsidRPr="00B14FF3">
        <w:t xml:space="preserve"> nára</w:t>
      </w:r>
      <w:r w:rsidR="00D018E6" w:rsidRPr="00B14FF3">
        <w:t>zníky podle specifikace ze vzorového</w:t>
      </w:r>
      <w:r w:rsidR="00034225" w:rsidRPr="00B14FF3">
        <w:t xml:space="preserve"> listu železničního spodku Ž9</w:t>
      </w:r>
      <w:r w:rsidR="00BB156F">
        <w:t xml:space="preserve"> a </w:t>
      </w:r>
      <w:r w:rsidR="00697B9D">
        <w:t xml:space="preserve">středním </w:t>
      </w:r>
      <w:r w:rsidR="00BB156F">
        <w:t>nárazníkem na automatické spřáhlo</w:t>
      </w:r>
    </w:p>
    <w:p w:rsidR="00034225" w:rsidRDefault="00BC716F" w:rsidP="002E168F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 xml:space="preserve">zarážedlo </w:t>
      </w:r>
      <w:r w:rsidR="00697B9D">
        <w:t xml:space="preserve">bude </w:t>
      </w:r>
      <w:r w:rsidR="00034225" w:rsidRPr="00B14FF3">
        <w:t xml:space="preserve">osazeno v přímé koleji s podélným sklonem </w:t>
      </w:r>
      <w:r>
        <w:t>dle situace</w:t>
      </w:r>
    </w:p>
    <w:p w:rsidR="00BB156F" w:rsidRPr="00B14FF3" w:rsidRDefault="00BB156F" w:rsidP="002E168F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>na zarážedle bude osazena návěst posun zakázán</w:t>
      </w:r>
      <w:r w:rsidR="000667EF">
        <w:t xml:space="preserve"> dle SŽDC D1</w:t>
      </w:r>
    </w:p>
    <w:p w:rsidR="00034225" w:rsidRPr="00C66080" w:rsidRDefault="00BC716F" w:rsidP="002E168F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 xml:space="preserve">zarážedlo bude </w:t>
      </w:r>
      <w:r w:rsidR="00034225" w:rsidRPr="00C66080">
        <w:t>z výroby opatřeno protikorozní ochranou pozinkování</w:t>
      </w:r>
      <w:r w:rsidR="00D018E6" w:rsidRPr="00C66080">
        <w:t xml:space="preserve">m </w:t>
      </w:r>
      <w:r w:rsidR="00C66080" w:rsidRPr="00C66080">
        <w:t>a nátěrem dle architektonických požadavků (podrobně viz dále)</w:t>
      </w:r>
      <w:r>
        <w:t xml:space="preserve"> v barvě RAL</w:t>
      </w:r>
    </w:p>
    <w:p w:rsidR="008D507F" w:rsidRPr="008D507F" w:rsidRDefault="008D507F" w:rsidP="002E168F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8D507F">
        <w:t>v oblasti zarážedla se nejedná o nástupištní hranu a bude zde zábradlí</w:t>
      </w:r>
      <w:r w:rsidR="00BC716F">
        <w:t>, vodící linie s funkcí varovného pásu zde nesmí být</w:t>
      </w:r>
    </w:p>
    <w:p w:rsidR="00BB156F" w:rsidRPr="00BB156F" w:rsidRDefault="00BB156F" w:rsidP="00BB156F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BB156F">
        <w:t>k zarážedlu bude dodána veškerá dokladová dokumentace, jedná se zejména o doložení základních technických parametrů (návrhových – dle zadání brzdná síla, max. nárazová rychlost; materiálových; rozměrových; PKO apod.) a prohlášení (deklarace) výrobce o jejich shodě s konkrétním dodaným výrobkem</w:t>
      </w:r>
      <w:r>
        <w:t xml:space="preserve"> a </w:t>
      </w:r>
      <w:r w:rsidRPr="00BB156F">
        <w:t xml:space="preserve">reference od žel. </w:t>
      </w:r>
      <w:proofErr w:type="gramStart"/>
      <w:r w:rsidRPr="00BB156F">
        <w:t>správ</w:t>
      </w:r>
      <w:proofErr w:type="gramEnd"/>
      <w:r w:rsidR="00BC716F">
        <w:t xml:space="preserve"> EU</w:t>
      </w:r>
      <w:r w:rsidRPr="00BB156F">
        <w:t xml:space="preserve"> o použití daného výrobku ve srovnatelných podmínkách</w:t>
      </w:r>
      <w:r>
        <w:t>.</w:t>
      </w:r>
    </w:p>
    <w:p w:rsidR="00BB156F" w:rsidRPr="000667EF" w:rsidRDefault="000667EF" w:rsidP="000667EF">
      <w:pPr>
        <w:spacing w:line="240" w:lineRule="auto"/>
        <w:jc w:val="both"/>
      </w:pPr>
      <w:r w:rsidRPr="000667EF">
        <w:t>Návrhové parametry</w:t>
      </w:r>
      <w:r>
        <w:t>:</w:t>
      </w:r>
    </w:p>
    <w:p w:rsidR="00697B9D" w:rsidRDefault="00697B9D" w:rsidP="000667EF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>vzhledem k dispozičnímu řešení a uvažovaným pracovním délkám se délka zarážedla uvažuje max. 3 m</w:t>
      </w:r>
    </w:p>
    <w:p w:rsidR="000667EF" w:rsidRDefault="000667EF" w:rsidP="000667EF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>nárazová rychlost 15 km</w:t>
      </w:r>
      <w:r w:rsidR="008D507F">
        <w:t>/h, bezpečnostní koeficient 1,</w:t>
      </w:r>
      <w:r w:rsidR="004C0DF4">
        <w:t>5</w:t>
      </w:r>
    </w:p>
    <w:p w:rsidR="000667EF" w:rsidRDefault="000667EF" w:rsidP="000667EF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>jednotlivé brzdné elementy budou rozmístěny dle níže popsaných charakteristik (počet elementů, brzdné síly elementů, vzdálenost za zarážedlem)</w:t>
      </w: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Default="00CC1B1A" w:rsidP="00CC1B1A">
      <w:pPr>
        <w:spacing w:line="240" w:lineRule="auto"/>
        <w:jc w:val="both"/>
      </w:pPr>
    </w:p>
    <w:p w:rsidR="00CC1B1A" w:rsidRPr="00BB156F" w:rsidRDefault="00CC1B1A" w:rsidP="00CC1B1A">
      <w:pPr>
        <w:spacing w:line="240" w:lineRule="auto"/>
        <w:jc w:val="both"/>
      </w:pPr>
    </w:p>
    <w:p w:rsidR="00BB156F" w:rsidRDefault="00BB156F" w:rsidP="00BB156F">
      <w:pPr>
        <w:spacing w:line="240" w:lineRule="auto"/>
        <w:jc w:val="both"/>
      </w:pPr>
      <w:r w:rsidRPr="00BB156F">
        <w:lastRenderedPageBreak/>
        <w:t xml:space="preserve">Zarážedlo u kol. </w:t>
      </w:r>
      <w:proofErr w:type="gramStart"/>
      <w:r w:rsidRPr="00BB156F">
        <w:t>č.</w:t>
      </w:r>
      <w:proofErr w:type="gramEnd"/>
      <w:r w:rsidRPr="00BB156F">
        <w:t xml:space="preserve"> 8 dimenzováno:</w:t>
      </w:r>
    </w:p>
    <w:tbl>
      <w:tblPr>
        <w:tblW w:w="1160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1088"/>
        <w:gridCol w:w="1174"/>
        <w:gridCol w:w="1174"/>
        <w:gridCol w:w="1174"/>
        <w:gridCol w:w="1174"/>
        <w:gridCol w:w="1174"/>
        <w:gridCol w:w="968"/>
        <w:gridCol w:w="2707"/>
      </w:tblGrid>
      <w:tr w:rsidR="004C0DF4" w:rsidRPr="004C0DF4" w:rsidTr="00CC1B1A">
        <w:trPr>
          <w:trHeight w:val="25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těžký vlak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lehký vlak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hmotnost vlaku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km/h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nárazová rychlost vlaku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Ekin</w:t>
            </w:r>
            <w:proofErr w:type="spellEnd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kinetická energie vlaku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37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 úsek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127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konec zarážedla až 1.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 řada členů až 2.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 řada členů až 3.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 řada členů až 4.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 řada členů až 5.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 řada členů až konec brzdné dráhy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127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brzdných členů na zarážedle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1. řadě za zarážedlem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2. řadě za zarážedlem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3. řadě za zarážedlem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4. řadě za zarážedlem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5. řadě za zarážedlem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nb</w:t>
            </w:r>
            <w:proofErr w:type="spellEnd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brzdných členů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</w:t>
            </w:r>
            <w:proofErr w:type="spellEnd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síla jednoho členu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síla všech členů v řadě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lw</w:t>
            </w:r>
            <w:proofErr w:type="spellEnd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dráha (délka úseku)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práce (po úsecích)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4980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práce (v součtech)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Fmax</w:t>
            </w:r>
            <w:proofErr w:type="spellEnd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max. brzdná síla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lw</w:t>
            </w:r>
            <w:proofErr w:type="spellEnd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</w:t>
            </w:r>
          </w:p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dráha celkem (bez délky zarážedla)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0DF4" w:rsidRPr="004C0DF4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 =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sz w:val="20"/>
                <w:szCs w:val="20"/>
              </w:rPr>
              <w:t>4980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práce celkem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DF4" w:rsidRPr="004C0DF4" w:rsidRDefault="004C0DF4" w:rsidP="004C0D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0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C0DF4" w:rsidRDefault="004C0DF4" w:rsidP="002E168F">
      <w:pPr>
        <w:pStyle w:val="Bezmezer"/>
        <w:jc w:val="both"/>
        <w:rPr>
          <w:u w:val="single"/>
        </w:rPr>
      </w:pPr>
    </w:p>
    <w:p w:rsidR="00F22E55" w:rsidRDefault="00F22E55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</w:p>
    <w:p w:rsidR="00CC1B1A" w:rsidRDefault="00CC1B1A" w:rsidP="002E168F">
      <w:pPr>
        <w:pStyle w:val="Bezmezer"/>
        <w:jc w:val="both"/>
        <w:rPr>
          <w:u w:val="single"/>
        </w:rPr>
      </w:pPr>
      <w:bookmarkStart w:id="0" w:name="_GoBack"/>
      <w:bookmarkEnd w:id="0"/>
    </w:p>
    <w:p w:rsidR="000667EF" w:rsidRDefault="000667EF" w:rsidP="002E168F">
      <w:pPr>
        <w:pStyle w:val="Bezmezer"/>
        <w:jc w:val="both"/>
        <w:rPr>
          <w:u w:val="single"/>
        </w:rPr>
      </w:pPr>
    </w:p>
    <w:p w:rsidR="000667EF" w:rsidRDefault="000667EF" w:rsidP="002E168F">
      <w:pPr>
        <w:pStyle w:val="Bezmezer"/>
        <w:jc w:val="both"/>
        <w:rPr>
          <w:u w:val="single"/>
        </w:rPr>
      </w:pPr>
    </w:p>
    <w:p w:rsidR="00BB156F" w:rsidRPr="00BB156F" w:rsidRDefault="00BB156F" w:rsidP="00BB156F">
      <w:pPr>
        <w:spacing w:line="240" w:lineRule="auto"/>
        <w:jc w:val="both"/>
      </w:pPr>
      <w:r w:rsidRPr="00BB156F">
        <w:lastRenderedPageBreak/>
        <w:t xml:space="preserve">Zarážedlo u kol. </w:t>
      </w:r>
      <w:proofErr w:type="gramStart"/>
      <w:r w:rsidRPr="00BB156F">
        <w:t>č.</w:t>
      </w:r>
      <w:proofErr w:type="gramEnd"/>
      <w:r w:rsidRPr="00BB156F">
        <w:t xml:space="preserve"> </w:t>
      </w:r>
      <w:r>
        <w:t>10</w:t>
      </w:r>
      <w:r w:rsidRPr="00BB156F">
        <w:t xml:space="preserve"> dimenzováno:</w:t>
      </w:r>
    </w:p>
    <w:tbl>
      <w:tblPr>
        <w:tblW w:w="1160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1088"/>
        <w:gridCol w:w="1174"/>
        <w:gridCol w:w="1174"/>
        <w:gridCol w:w="1174"/>
        <w:gridCol w:w="1174"/>
        <w:gridCol w:w="1174"/>
        <w:gridCol w:w="968"/>
        <w:gridCol w:w="2707"/>
      </w:tblGrid>
      <w:tr w:rsidR="00161A0E" w:rsidRPr="00161A0E" w:rsidTr="00CC1B1A">
        <w:trPr>
          <w:trHeight w:val="25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těžký vlak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lehký vlak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hmotnost vlaku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km/h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nárazová rychlost vlaku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Ekin</w:t>
            </w:r>
            <w:proofErr w:type="spellEnd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kinetická energie vlaku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37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 úsek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 úsek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127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konec zarážedla až 1.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 řada členů až 2.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 řada členů až 3.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 řada členů až 4.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 řada členů až 5. řada členů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 řada členů až konec brzdné dráhy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127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brzdných členů na zarážedle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1. řadě za zarážedlem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2. řadě za zarážedlem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3. řadě za zarážedlem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4. řadě za zarážedlem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členů v 5. řadě za zarážedlem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nb</w:t>
            </w:r>
            <w:proofErr w:type="spellEnd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počet brzdných členů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</w:t>
            </w:r>
            <w:proofErr w:type="spellEnd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síla jednoho členu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síla všech členů v řadě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lw</w:t>
            </w:r>
            <w:proofErr w:type="spellEnd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dráha (délka úseku)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práce (po úsecích)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 =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práce (v součtech)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Fmax</w:t>
            </w:r>
            <w:proofErr w:type="spellEnd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max. brzdná síla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lw</w:t>
            </w:r>
            <w:proofErr w:type="spellEnd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</w:t>
            </w:r>
          </w:p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dráha celkem (bez délky zarážedla)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E" w:rsidRPr="00161A0E" w:rsidTr="00CC1B1A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 =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sz w:val="20"/>
                <w:szCs w:val="20"/>
              </w:rPr>
              <w:t>2700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brzdná práce celkem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0E" w:rsidRPr="00161A0E" w:rsidRDefault="00161A0E" w:rsidP="00161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1A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C0DF4" w:rsidRDefault="004C0DF4" w:rsidP="00BB156F">
      <w:pPr>
        <w:spacing w:line="240" w:lineRule="auto"/>
        <w:jc w:val="both"/>
      </w:pPr>
    </w:p>
    <w:p w:rsidR="004C0DF4" w:rsidRDefault="00BC716F" w:rsidP="00BB156F">
      <w:pPr>
        <w:spacing w:line="240" w:lineRule="auto"/>
        <w:jc w:val="both"/>
      </w:pPr>
      <w:r>
        <w:t>Protikorozní ochrana:</w:t>
      </w:r>
    </w:p>
    <w:p w:rsidR="00BC716F" w:rsidRDefault="00BC716F" w:rsidP="00BC716F">
      <w:pPr>
        <w:spacing w:line="240" w:lineRule="auto"/>
        <w:jc w:val="both"/>
      </w:pPr>
      <w:r>
        <w:t>Podrobné pokyny a doporučení týkající se ochrany ocelových konstrukcí kovovými povlaky obsahuje norma ČSN EN ISO 1461 a ČSN EN ISO 14713.</w:t>
      </w:r>
      <w:r w:rsidRPr="00EE3ECB">
        <w:t xml:space="preserve"> </w:t>
      </w:r>
      <w:r>
        <w:t xml:space="preserve">Konstrukční řešení, volba základního materiálu a výroba dílů určených k žárovému zinkování ponorem musí odpovídat požadavkům technických podmínek žárové zinkovny. </w:t>
      </w:r>
    </w:p>
    <w:p w:rsidR="00BC716F" w:rsidRDefault="00BC716F" w:rsidP="00BC716F">
      <w:pPr>
        <w:spacing w:line="240" w:lineRule="auto"/>
        <w:jc w:val="both"/>
      </w:pPr>
      <w:r w:rsidRPr="00EE3ECB">
        <w:t xml:space="preserve">Příprava povrchu pro žárové </w:t>
      </w:r>
      <w:r>
        <w:t xml:space="preserve">zinkování se provádí v odmořovací lázni, která je součástí pokovovací linky v žárové zinkovně (tj. stupeň přípravy </w:t>
      </w:r>
      <w:proofErr w:type="spellStart"/>
      <w:r>
        <w:t>Be</w:t>
      </w:r>
      <w:proofErr w:type="spellEnd"/>
      <w:r>
        <w:t>).</w:t>
      </w:r>
    </w:p>
    <w:p w:rsidR="00BC716F" w:rsidRDefault="00BC716F" w:rsidP="00BC716F">
      <w:pPr>
        <w:spacing w:line="240" w:lineRule="auto"/>
        <w:jc w:val="both"/>
      </w:pPr>
      <w:r>
        <w:t>Duté prostory konstrukcí určených pro žárové zinkování ponorem musí mít dostatečné odvětrací a výtokové otvory, jejich velikost, počet a umístění je nutné konzultovat s odbornými zaměstnanci zinkovny. Žárové zinkování ponorem uzavřených dutých těles je nepřípustné s ohledem na nebezpečí exploze.</w:t>
      </w:r>
    </w:p>
    <w:p w:rsidR="00BC716F" w:rsidRDefault="00BC716F" w:rsidP="00BC716F">
      <w:pPr>
        <w:spacing w:line="240" w:lineRule="auto"/>
        <w:jc w:val="both"/>
      </w:pPr>
      <w:r>
        <w:t xml:space="preserve">Pro hodnocení vlastností, minimální tloušťku povlaku a metody zkoušení povlaků zinku vytvořených žárově ponorem platí norma ČSN EN ISO 1461 (viz tabulka 3). Objednatel si vyhradí přejímací kontrolu v zinkovně a předání protokolů o měření tlouštěk. Při dopravě a skladování je třeba zabránit vzniku bílé rzi, která je důsledkem dlouhodobého kontaktu žárového zinku s vodou. Místa poškozená hrubou manipulací nebo zpracováním na stavbě je třeba bezprostředně opravit žárově stříkaným </w:t>
      </w:r>
      <w:r>
        <w:lastRenderedPageBreak/>
        <w:t xml:space="preserve">zinkem nebo </w:t>
      </w:r>
      <w:proofErr w:type="spellStart"/>
      <w:r>
        <w:t>nízkotavitelnou</w:t>
      </w:r>
      <w:proofErr w:type="spellEnd"/>
      <w:r>
        <w:t xml:space="preserve"> zinkovou pájkou podle ČSN EN ISO 1461, popřípadě barvou se zinkovým pigmentem.</w:t>
      </w:r>
    </w:p>
    <w:p w:rsidR="00BC716F" w:rsidRDefault="00BC716F" w:rsidP="00BC716F">
      <w:r>
        <w:rPr>
          <w:noProof/>
        </w:rPr>
        <w:drawing>
          <wp:inline distT="0" distB="0" distL="0" distR="0" wp14:anchorId="05DA57A7" wp14:editId="24614303">
            <wp:extent cx="5760720" cy="2532487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2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16F" w:rsidRPr="00BC716F" w:rsidRDefault="00BC716F" w:rsidP="00BC716F">
      <w:pPr>
        <w:spacing w:line="240" w:lineRule="auto"/>
        <w:jc w:val="both"/>
      </w:pPr>
      <w:r w:rsidRPr="00BC716F">
        <w:t xml:space="preserve">Přesto, že žárový zinek poskytuje dobrou ochranu proti korozi, v případě požadavků na velmi dlouhou životnost, v agresivním prostředí nebo s architektonických estetických důvodů se doplňuje nátěrovým systémem </w:t>
      </w:r>
    </w:p>
    <w:p w:rsidR="00BC716F" w:rsidRPr="00BC716F" w:rsidRDefault="00BC716F" w:rsidP="00BC716F">
      <w:pPr>
        <w:spacing w:line="240" w:lineRule="auto"/>
        <w:jc w:val="both"/>
      </w:pPr>
      <w:r w:rsidRPr="00BC716F">
        <w:t xml:space="preserve">Jako ONS na žárově nanesený zinek lze využít systémy uvedené v tabulce </w:t>
      </w:r>
      <w:proofErr w:type="gramStart"/>
      <w:r w:rsidRPr="00BC716F">
        <w:t>A.7 ČSN</w:t>
      </w:r>
      <w:proofErr w:type="gramEnd"/>
      <w:r w:rsidRPr="00BC716F">
        <w:t xml:space="preserve"> EN ISO 12944-5 na </w:t>
      </w:r>
      <w:proofErr w:type="spellStart"/>
      <w:r w:rsidRPr="00BC716F">
        <w:t>bazi</w:t>
      </w:r>
      <w:proofErr w:type="spellEnd"/>
      <w:r w:rsidRPr="00BC716F">
        <w:t xml:space="preserve"> EP, PUR </w:t>
      </w:r>
      <w:proofErr w:type="spellStart"/>
      <w:r w:rsidRPr="00BC716F">
        <w:t>tl</w:t>
      </w:r>
      <w:proofErr w:type="spellEnd"/>
      <w:r w:rsidRPr="00BC716F">
        <w:t xml:space="preserve">. 160 – </w:t>
      </w:r>
      <w:proofErr w:type="gramStart"/>
      <w:r w:rsidRPr="00BC716F">
        <w:t>200 µm ;</w:t>
      </w:r>
      <w:proofErr w:type="gramEnd"/>
    </w:p>
    <w:p w:rsidR="00BC716F" w:rsidRPr="00BC716F" w:rsidRDefault="00BC716F" w:rsidP="00BC716F">
      <w:pPr>
        <w:spacing w:line="240" w:lineRule="auto"/>
        <w:jc w:val="both"/>
      </w:pPr>
      <w:r w:rsidRPr="00BC716F">
        <w:t xml:space="preserve">Příprava povrchu se provádí podle ČSN EN ISO 12944-4. Pro zajištění dobré přilnavosti se doporučuje lehké tryskání nekovovým tryskacím prostředkem (zrnitost max. 0,5 mm, tlak max. 0,3 </w:t>
      </w:r>
      <w:proofErr w:type="spellStart"/>
      <w:r w:rsidRPr="00BC716F">
        <w:t>MPa</w:t>
      </w:r>
      <w:proofErr w:type="spellEnd"/>
      <w:r w:rsidRPr="00BC716F">
        <w:t>, vzdálenost trysky min. 0,30 m pod ostrým úhlem). Nedodržení uvedených podmínek (především zrnitosti tryskacího prostředku a tlaku) může způsobit poškození povlaku. Úbytek zinku tryskáním by neměl přesáhnout 10 µm.</w:t>
      </w:r>
    </w:p>
    <w:p w:rsidR="00C66080" w:rsidRDefault="00BC716F" w:rsidP="00BB156F">
      <w:pPr>
        <w:spacing w:line="240" w:lineRule="auto"/>
        <w:jc w:val="both"/>
      </w:pPr>
      <w:proofErr w:type="gramStart"/>
      <w:r>
        <w:t xml:space="preserve">Pro </w:t>
      </w:r>
      <w:r w:rsidRPr="00B9361C">
        <w:t xml:space="preserve"> </w:t>
      </w:r>
      <w:r>
        <w:t>a</w:t>
      </w:r>
      <w:r w:rsidRPr="00B9361C">
        <w:t>plikac</w:t>
      </w:r>
      <w:r>
        <w:t>i</w:t>
      </w:r>
      <w:proofErr w:type="gramEnd"/>
      <w:r w:rsidRPr="00B9361C">
        <w:t xml:space="preserve"> nátěru</w:t>
      </w:r>
      <w:r>
        <w:t xml:space="preserve"> bude zpracován technologický postup a bude přednostně použito </w:t>
      </w:r>
      <w:r w:rsidRPr="00B9361C">
        <w:t>vysokotlak</w:t>
      </w:r>
      <w:r>
        <w:t>é</w:t>
      </w:r>
      <w:r w:rsidRPr="00B9361C">
        <w:t xml:space="preserve"> stříkán</w:t>
      </w:r>
      <w:r>
        <w:t>í.</w:t>
      </w:r>
    </w:p>
    <w:p w:rsidR="00C66080" w:rsidRDefault="00C66080" w:rsidP="00BB156F">
      <w:pPr>
        <w:spacing w:line="240" w:lineRule="auto"/>
        <w:jc w:val="both"/>
      </w:pPr>
    </w:p>
    <w:p w:rsidR="00056D4B" w:rsidRDefault="00056D4B" w:rsidP="00056D4B">
      <w:pPr>
        <w:spacing w:line="240" w:lineRule="auto"/>
        <w:jc w:val="both"/>
      </w:pPr>
      <w:r>
        <w:t>Závěr:</w:t>
      </w:r>
    </w:p>
    <w:p w:rsidR="00034225" w:rsidRDefault="00034225" w:rsidP="002E168F">
      <w:pPr>
        <w:pStyle w:val="Bezmezer"/>
        <w:jc w:val="both"/>
        <w:rPr>
          <w:u w:val="single"/>
        </w:rPr>
      </w:pPr>
      <w:r w:rsidRPr="00B14FF3">
        <w:rPr>
          <w:u w:val="single"/>
        </w:rPr>
        <w:t xml:space="preserve">Konkrétní řešení </w:t>
      </w:r>
      <w:r w:rsidR="00BC716F">
        <w:rPr>
          <w:u w:val="single"/>
        </w:rPr>
        <w:t xml:space="preserve">příp. odchylky od výše požadovaného </w:t>
      </w:r>
      <w:r w:rsidRPr="00B14FF3">
        <w:rPr>
          <w:u w:val="single"/>
        </w:rPr>
        <w:t>je</w:t>
      </w:r>
      <w:r w:rsidR="00D018E6" w:rsidRPr="00B14FF3">
        <w:rPr>
          <w:u w:val="single"/>
        </w:rPr>
        <w:t xml:space="preserve"> nutné konzultovat s projektant</w:t>
      </w:r>
      <w:r w:rsidRPr="00B14FF3">
        <w:rPr>
          <w:u w:val="single"/>
        </w:rPr>
        <w:t>em a SŽDC OTH.</w:t>
      </w:r>
      <w:r w:rsidRPr="00B14FF3">
        <w:t xml:space="preserve"> Na konci koleje (za výše</w:t>
      </w:r>
      <w:r w:rsidR="00D018E6" w:rsidRPr="00B14FF3">
        <w:t xml:space="preserve"> </w:t>
      </w:r>
      <w:r w:rsidRPr="00B14FF3">
        <w:t>uvede</w:t>
      </w:r>
      <w:r w:rsidR="00D018E6" w:rsidRPr="00B14FF3">
        <w:t>ným zarážedlem) bude umístěn železobetonový</w:t>
      </w:r>
      <w:r w:rsidRPr="00B14FF3">
        <w:t xml:space="preserve"> blok standardního zarážedla typu SUDOP dle Vzorového</w:t>
      </w:r>
      <w:r w:rsidR="00D018E6" w:rsidRPr="00B14FF3">
        <w:t xml:space="preserve"> </w:t>
      </w:r>
      <w:r w:rsidRPr="00B14FF3">
        <w:t>listu Ž9.13 (viz přílohu TZ č. 2), který bude tvořit rovněž stěnu nástupiště. Tento blok nebude osazen</w:t>
      </w:r>
      <w:r w:rsidR="00D018E6" w:rsidRPr="00B14FF3">
        <w:t xml:space="preserve"> </w:t>
      </w:r>
      <w:r w:rsidRPr="00B14FF3">
        <w:t xml:space="preserve">kotvami pro nárazníky ani nárazníky. </w:t>
      </w:r>
      <w:r w:rsidRPr="00B14FF3">
        <w:rPr>
          <w:u w:val="single"/>
        </w:rPr>
        <w:t>Realizaci bloku zarážedla je nezbytné koordinovat se stavbou</w:t>
      </w:r>
      <w:r w:rsidR="00D018E6" w:rsidRPr="00B14FF3">
        <w:rPr>
          <w:u w:val="single"/>
        </w:rPr>
        <w:t xml:space="preserve"> </w:t>
      </w:r>
      <w:r w:rsidRPr="00B14FF3">
        <w:rPr>
          <w:u w:val="single"/>
        </w:rPr>
        <w:t>nástupiště.</w:t>
      </w:r>
    </w:p>
    <w:p w:rsidR="00F16D97" w:rsidRDefault="00F16D97" w:rsidP="002E168F">
      <w:pPr>
        <w:pStyle w:val="Bezmezer"/>
        <w:jc w:val="both"/>
        <w:rPr>
          <w:u w:val="single"/>
        </w:rPr>
      </w:pPr>
    </w:p>
    <w:p w:rsidR="00F16D97" w:rsidRDefault="00F16D97" w:rsidP="002E168F">
      <w:pPr>
        <w:pStyle w:val="Bezmezer"/>
        <w:jc w:val="both"/>
        <w:rPr>
          <w:u w:val="single"/>
        </w:rPr>
      </w:pPr>
    </w:p>
    <w:p w:rsidR="00F16D97" w:rsidRDefault="00F16D97" w:rsidP="002E168F">
      <w:pPr>
        <w:pStyle w:val="Bezmezer"/>
        <w:jc w:val="both"/>
        <w:rPr>
          <w:u w:val="single"/>
        </w:rPr>
      </w:pPr>
    </w:p>
    <w:sectPr w:rsidR="00F16D97" w:rsidSect="00B20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756"/>
    <w:multiLevelType w:val="hybridMultilevel"/>
    <w:tmpl w:val="B456C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60205"/>
    <w:multiLevelType w:val="hybridMultilevel"/>
    <w:tmpl w:val="86EC6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25"/>
    <w:rsid w:val="00034225"/>
    <w:rsid w:val="00056D4B"/>
    <w:rsid w:val="000667EF"/>
    <w:rsid w:val="00161A0E"/>
    <w:rsid w:val="00163D90"/>
    <w:rsid w:val="00287268"/>
    <w:rsid w:val="002E168F"/>
    <w:rsid w:val="003E3028"/>
    <w:rsid w:val="00446186"/>
    <w:rsid w:val="004C0DF4"/>
    <w:rsid w:val="006422E5"/>
    <w:rsid w:val="00697B9D"/>
    <w:rsid w:val="006F0CAD"/>
    <w:rsid w:val="0070418E"/>
    <w:rsid w:val="008D507F"/>
    <w:rsid w:val="009D0B94"/>
    <w:rsid w:val="00A62F96"/>
    <w:rsid w:val="00A95D1E"/>
    <w:rsid w:val="00B14FF3"/>
    <w:rsid w:val="00B201B8"/>
    <w:rsid w:val="00B44F75"/>
    <w:rsid w:val="00B65F72"/>
    <w:rsid w:val="00BB156F"/>
    <w:rsid w:val="00BC716F"/>
    <w:rsid w:val="00C11FB7"/>
    <w:rsid w:val="00C6013C"/>
    <w:rsid w:val="00C66080"/>
    <w:rsid w:val="00CC1B1A"/>
    <w:rsid w:val="00D018E6"/>
    <w:rsid w:val="00F16D97"/>
    <w:rsid w:val="00F22E55"/>
    <w:rsid w:val="00F57E20"/>
    <w:rsid w:val="00FE5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4225"/>
    <w:pPr>
      <w:ind w:left="720"/>
      <w:contextualSpacing/>
    </w:pPr>
  </w:style>
  <w:style w:type="paragraph" w:styleId="Bezmezer">
    <w:name w:val="No Spacing"/>
    <w:uiPriority w:val="1"/>
    <w:qFormat/>
    <w:rsid w:val="0044618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BB156F"/>
    <w:rPr>
      <w:color w:val="0000FF"/>
      <w:u w:val="single"/>
    </w:rPr>
  </w:style>
  <w:style w:type="paragraph" w:customStyle="1" w:styleId="lnek">
    <w:name w:val="článek"/>
    <w:basedOn w:val="Normln"/>
    <w:rsid w:val="00BC716F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Arial" w:eastAsia="Times New Roman" w:hAnsi="Arial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7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4225"/>
    <w:pPr>
      <w:ind w:left="720"/>
      <w:contextualSpacing/>
    </w:pPr>
  </w:style>
  <w:style w:type="paragraph" w:styleId="Bezmezer">
    <w:name w:val="No Spacing"/>
    <w:uiPriority w:val="1"/>
    <w:qFormat/>
    <w:rsid w:val="0044618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BB156F"/>
    <w:rPr>
      <w:color w:val="0000FF"/>
      <w:u w:val="single"/>
    </w:rPr>
  </w:style>
  <w:style w:type="paragraph" w:customStyle="1" w:styleId="lnek">
    <w:name w:val="článek"/>
    <w:basedOn w:val="Normln"/>
    <w:rsid w:val="00BC716F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Arial" w:eastAsia="Times New Roman" w:hAnsi="Arial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7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4</Pages>
  <Words>1008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Štajner</dc:creator>
  <cp:lastModifiedBy>vladimir.fisar</cp:lastModifiedBy>
  <cp:revision>5</cp:revision>
  <dcterms:created xsi:type="dcterms:W3CDTF">2016-03-23T09:50:00Z</dcterms:created>
  <dcterms:modified xsi:type="dcterms:W3CDTF">2016-03-29T13:46:00Z</dcterms:modified>
</cp:coreProperties>
</file>