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0BA34250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40609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06093" w:rsidRPr="00406093">
        <w:rPr>
          <w:rFonts w:asciiTheme="majorHAnsi" w:eastAsia="Times New Roman" w:hAnsiTheme="majorHAnsi" w:cs="Times New Roman"/>
          <w:lang w:eastAsia="cs-CZ"/>
        </w:rPr>
        <w:t>5</w:t>
      </w:r>
      <w:r w:rsidRPr="00406093">
        <w:rPr>
          <w:rFonts w:asciiTheme="majorHAnsi" w:eastAsia="Times New Roman" w:hAnsiTheme="majorHAnsi" w:cs="Times New Roman"/>
          <w:lang w:eastAsia="cs-CZ"/>
        </w:rPr>
        <w:t xml:space="preserve"> Výzvy k podání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2E6F134B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406093">
        <w:rPr>
          <w:rFonts w:eastAsia="Times New Roman" w:cs="Times New Roman"/>
          <w:lang w:eastAsia="cs-CZ"/>
        </w:rPr>
        <w:t xml:space="preserve">zastoupená </w:t>
      </w:r>
      <w:r w:rsidR="00406093" w:rsidRPr="00406093">
        <w:rPr>
          <w:rFonts w:eastAsia="Times New Roman" w:cs="Times New Roman"/>
          <w:b/>
          <w:lang w:eastAsia="cs-CZ"/>
        </w:rPr>
        <w:t>Ing. Alešem Krejčím, náměstkem GŘ pro ekonomiku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2FC02A1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406093" w:rsidRPr="00D27F7B">
        <w:rPr>
          <w:b/>
        </w:rPr>
        <w:t>Integrita dat a reporting v IS SAP REM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A249CE">
        <w:rPr>
          <w:rFonts w:eastAsia="Times New Roman" w:cs="Times New Roman"/>
          <w:lang w:eastAsia="cs-CZ"/>
        </w:rPr>
        <w:t xml:space="preserve">č.j. veřejné zakázky </w:t>
      </w:r>
      <w:r w:rsidR="00A249CE" w:rsidRPr="00A249CE">
        <w:rPr>
          <w:rFonts w:eastAsia="Times New Roman" w:cs="Times New Roman"/>
          <w:lang w:eastAsia="cs-CZ"/>
        </w:rPr>
        <w:t>24915/2020-SŽ-GŘ-O8</w:t>
      </w:r>
      <w:r w:rsidR="005740C3" w:rsidRPr="00A249CE">
        <w:rPr>
          <w:rFonts w:eastAsia="Times New Roman" w:cs="Times New Roman"/>
          <w:lang w:eastAsia="cs-CZ"/>
        </w:rPr>
        <w:t xml:space="preserve"> </w:t>
      </w:r>
      <w:r w:rsidRPr="00A249CE">
        <w:rPr>
          <w:rFonts w:eastAsia="Times New Roman" w:cs="Times New Roman"/>
          <w:lang w:eastAsia="cs-CZ"/>
        </w:rPr>
        <w:t>(dále jen „veřejná zakázka</w:t>
      </w:r>
      <w:r w:rsidR="006566F7" w:rsidRPr="00A249CE">
        <w:rPr>
          <w:rFonts w:eastAsia="Times New Roman" w:cs="Times New Roman"/>
          <w:lang w:eastAsia="cs-CZ"/>
        </w:rPr>
        <w:t>“). Jednotlivá ustanovení této S</w:t>
      </w:r>
      <w:r w:rsidRPr="00A249CE">
        <w:rPr>
          <w:rFonts w:eastAsia="Times New Roman" w:cs="Times New Roman"/>
          <w:lang w:eastAsia="cs-CZ"/>
        </w:rPr>
        <w:t>mlouvy tak budou vykládána v souladu se zadávacími podmínkami veřejné</w:t>
      </w:r>
      <w:r w:rsidRPr="004E1498">
        <w:rPr>
          <w:rFonts w:eastAsia="Times New Roman" w:cs="Times New Roman"/>
          <w:lang w:eastAsia="cs-CZ"/>
        </w:rPr>
        <w:t xml:space="preserve">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lastRenderedPageBreak/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4D7C1DCB" w14:textId="77777777" w:rsidR="00406093" w:rsidRDefault="00406093" w:rsidP="00406093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b/>
        </w:rPr>
      </w:pPr>
      <w:r>
        <w:t>Předmět</w:t>
      </w:r>
      <w:r w:rsidR="004E1498" w:rsidRPr="004E1498">
        <w:t xml:space="preserve"> díla je </w:t>
      </w:r>
      <w:r>
        <w:rPr>
          <w:b/>
        </w:rPr>
        <w:t>rozdělen do následujících etap:</w:t>
      </w:r>
    </w:p>
    <w:p w14:paraId="7D8A70E5" w14:textId="77777777" w:rsidR="00172F07" w:rsidRPr="00172F07" w:rsidRDefault="00172F07" w:rsidP="00172F07">
      <w:pPr>
        <w:numPr>
          <w:ilvl w:val="0"/>
          <w:numId w:val="36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Kontrola integrity a logické testy dat (verifikace) – budovy Správy železnic v informačním systému SAP modul REM</w:t>
      </w:r>
    </w:p>
    <w:p w14:paraId="431A04B1" w14:textId="77777777" w:rsidR="00172F07" w:rsidRPr="00172F07" w:rsidRDefault="00172F07" w:rsidP="00172F07">
      <w:pPr>
        <w:numPr>
          <w:ilvl w:val="0"/>
          <w:numId w:val="37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Návrh postupu ověření kvality (verifikace) dat evidovaných v SAP REM; cílem je identifikovat chybějící a chybná data a nastavit proces oprav a dlouhodobé správy dat o budovách v REM.</w:t>
      </w:r>
    </w:p>
    <w:p w14:paraId="5832CBBF" w14:textId="77777777" w:rsidR="00172F07" w:rsidRPr="00172F07" w:rsidRDefault="00172F07" w:rsidP="00172F07">
      <w:pPr>
        <w:numPr>
          <w:ilvl w:val="0"/>
          <w:numId w:val="37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Definování a asistence při provádění konkrétních kvalitativních a logických testů kvality dat v REM; vyhodnocení výsledků, formulace nápravných opatření.</w:t>
      </w:r>
    </w:p>
    <w:p w14:paraId="2FBF493C" w14:textId="77777777" w:rsidR="00172F07" w:rsidRPr="00172F07" w:rsidRDefault="00172F07" w:rsidP="00172F07">
      <w:pPr>
        <w:numPr>
          <w:ilvl w:val="0"/>
          <w:numId w:val="37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Návrh principu a postupu průběžné verifikace dat a doplňování dat do systému REM.</w:t>
      </w:r>
    </w:p>
    <w:p w14:paraId="58695D62" w14:textId="77777777" w:rsidR="00172F07" w:rsidRPr="00172F07" w:rsidRDefault="00172F07" w:rsidP="00172F07">
      <w:pPr>
        <w:numPr>
          <w:ilvl w:val="0"/>
          <w:numId w:val="36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Definice business požadavků na reporty a další podklady ze SAP REM – obsazenost a ekonomika využití budov Správy železnic</w:t>
      </w:r>
    </w:p>
    <w:p w14:paraId="5D306998" w14:textId="77777777" w:rsidR="00172F07" w:rsidRPr="00172F07" w:rsidRDefault="00172F07" w:rsidP="00172F07">
      <w:pPr>
        <w:numPr>
          <w:ilvl w:val="0"/>
          <w:numId w:val="38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Definice struktury a obsahu konkrétních reportů pro oblast využití a ekonomiky budov Správy železnic, zejména v oblastech:</w:t>
      </w:r>
    </w:p>
    <w:p w14:paraId="254FC2C3" w14:textId="77777777" w:rsidR="00172F07" w:rsidRPr="00172F07" w:rsidRDefault="00172F07" w:rsidP="00172F07">
      <w:pPr>
        <w:numPr>
          <w:ilvl w:val="1"/>
          <w:numId w:val="38"/>
        </w:numPr>
        <w:ind w:left="1276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Kategorie nájemce – interní vs. externí, u externích další členění na komerční subjekty, dopravce, apod.</w:t>
      </w:r>
    </w:p>
    <w:p w14:paraId="7FEF84CF" w14:textId="77777777" w:rsidR="00172F07" w:rsidRPr="00172F07" w:rsidRDefault="00172F07" w:rsidP="00172F07">
      <w:pPr>
        <w:numPr>
          <w:ilvl w:val="1"/>
          <w:numId w:val="38"/>
        </w:numPr>
        <w:ind w:left="1276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Technické údaje – obsazenost v m</w:t>
      </w:r>
      <w:r w:rsidRPr="00172F07">
        <w:rPr>
          <w:rFonts w:ascii="Verdana" w:eastAsia="Verdana" w:hAnsi="Verdana" w:cs="Times New Roman"/>
          <w:vertAlign w:val="superscript"/>
        </w:rPr>
        <w:t>2</w:t>
      </w:r>
      <w:r w:rsidRPr="00172F07">
        <w:rPr>
          <w:rFonts w:ascii="Verdana" w:eastAsia="Verdana" w:hAnsi="Verdana" w:cs="Times New Roman"/>
        </w:rPr>
        <w:t>, časové období nájmu, výpovědní lhůty, hodnocení kvality a spolehlivost nájemce.</w:t>
      </w:r>
    </w:p>
    <w:p w14:paraId="22C6EE77" w14:textId="77777777" w:rsidR="00172F07" w:rsidRPr="00172F07" w:rsidRDefault="00172F07" w:rsidP="00172F07">
      <w:pPr>
        <w:numPr>
          <w:ilvl w:val="1"/>
          <w:numId w:val="38"/>
        </w:numPr>
        <w:ind w:left="1276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Informace o volné kapacitě – aktuální a výhled na nadcházející období.</w:t>
      </w:r>
    </w:p>
    <w:p w14:paraId="44B7090C" w14:textId="77777777" w:rsidR="00172F07" w:rsidRPr="00172F07" w:rsidRDefault="00172F07" w:rsidP="00172F07">
      <w:pPr>
        <w:numPr>
          <w:ilvl w:val="1"/>
          <w:numId w:val="38"/>
        </w:numPr>
        <w:ind w:left="1276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Výnosová část – ve struktuře dle nájemců a jejich skupin.</w:t>
      </w:r>
    </w:p>
    <w:p w14:paraId="3CE2E594" w14:textId="77777777" w:rsidR="00172F07" w:rsidRPr="00172F07" w:rsidRDefault="00172F07" w:rsidP="00172F07">
      <w:pPr>
        <w:numPr>
          <w:ilvl w:val="1"/>
          <w:numId w:val="38"/>
        </w:numPr>
        <w:ind w:left="1276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Nákladová část – ve vazbě na systém SAP CO.</w:t>
      </w:r>
    </w:p>
    <w:p w14:paraId="678E3EE6" w14:textId="77777777" w:rsidR="00172F07" w:rsidRPr="00172F07" w:rsidRDefault="00172F07" w:rsidP="00172F07">
      <w:pPr>
        <w:numPr>
          <w:ilvl w:val="0"/>
          <w:numId w:val="38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Odsouhlasení struktury a periodicity reportů ze systému SAP REM se Správou železnic.</w:t>
      </w:r>
    </w:p>
    <w:p w14:paraId="570FD91E" w14:textId="77777777" w:rsidR="00172F07" w:rsidRPr="00172F07" w:rsidRDefault="00172F07" w:rsidP="00172F07">
      <w:pPr>
        <w:numPr>
          <w:ilvl w:val="0"/>
          <w:numId w:val="36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Posouzení dostupnosti dat a aktuálních nástrojů v SAP REM pro zajištění business požadavků; sestavení Pilotních reportů v MS Excel – obsazenost a ekonomika využití budov Správy železnic</w:t>
      </w:r>
    </w:p>
    <w:p w14:paraId="16092C64" w14:textId="77777777" w:rsidR="00172F07" w:rsidRPr="00172F07" w:rsidRDefault="00172F07" w:rsidP="00172F07">
      <w:pPr>
        <w:numPr>
          <w:ilvl w:val="0"/>
          <w:numId w:val="39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 xml:space="preserve">Posouzení dostupnosti dat pro požadované reporty. </w:t>
      </w:r>
    </w:p>
    <w:p w14:paraId="78F8BFA8" w14:textId="77777777" w:rsidR="00172F07" w:rsidRPr="00172F07" w:rsidRDefault="00172F07" w:rsidP="00172F07">
      <w:pPr>
        <w:numPr>
          <w:ilvl w:val="0"/>
          <w:numId w:val="39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Posouzení standardních nástrojů SAP REM pro potřeby sestavení požadovaných reportů.</w:t>
      </w:r>
    </w:p>
    <w:p w14:paraId="79DD8D3C" w14:textId="77777777" w:rsidR="00172F07" w:rsidRPr="00172F07" w:rsidRDefault="00172F07" w:rsidP="00172F07">
      <w:pPr>
        <w:numPr>
          <w:ilvl w:val="0"/>
          <w:numId w:val="39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lastRenderedPageBreak/>
        <w:t>GAP analýza – identifikace případných chybějících dat a chybějících nástrojů v SAP REM.</w:t>
      </w:r>
    </w:p>
    <w:p w14:paraId="438024B7" w14:textId="77777777" w:rsidR="00172F07" w:rsidRPr="00172F07" w:rsidRDefault="00172F07" w:rsidP="00172F07">
      <w:pPr>
        <w:numPr>
          <w:ilvl w:val="0"/>
          <w:numId w:val="39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Návrh řešení – způsob doplnění chybějících dat a způsob naplnění definovaných business požadavků (reportů) z pohledu aktuálně evidovaných dat a funkcionalit v SAP REM – ve spolupráci s pracovníky odd. SAP Správy železnic a expertem REM.</w:t>
      </w:r>
    </w:p>
    <w:p w14:paraId="260D6C4E" w14:textId="77777777" w:rsidR="00172F07" w:rsidRPr="00172F07" w:rsidRDefault="00172F07" w:rsidP="00172F07">
      <w:pPr>
        <w:numPr>
          <w:ilvl w:val="0"/>
          <w:numId w:val="39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Sestavení přehledu konkrétních požadovaných úprav SAP RE po jejich odsouhlasení ze strany Správy železnic (=základ pro technickou specifikaci).</w:t>
      </w:r>
    </w:p>
    <w:p w14:paraId="6C00AE6C" w14:textId="77777777" w:rsidR="00172F07" w:rsidRPr="00172F07" w:rsidRDefault="00172F07" w:rsidP="00172F07">
      <w:pPr>
        <w:numPr>
          <w:ilvl w:val="0"/>
          <w:numId w:val="39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Sestavení Pilotních reportů na bázi dat ze SAP REM, CO, případně dalších dat (ověření funkcionality systému).</w:t>
      </w:r>
    </w:p>
    <w:p w14:paraId="71304703" w14:textId="77777777" w:rsidR="00172F07" w:rsidRPr="00172F07" w:rsidRDefault="00172F07" w:rsidP="00172F07">
      <w:pPr>
        <w:numPr>
          <w:ilvl w:val="0"/>
          <w:numId w:val="36"/>
        </w:numPr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Návrh dalšího postupu (akční plán)</w:t>
      </w:r>
    </w:p>
    <w:p w14:paraId="64213FF0" w14:textId="77777777" w:rsidR="00172F07" w:rsidRPr="00172F07" w:rsidRDefault="00172F07" w:rsidP="00172F07">
      <w:pPr>
        <w:numPr>
          <w:ilvl w:val="0"/>
          <w:numId w:val="40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172F07">
        <w:rPr>
          <w:rFonts w:ascii="Verdana" w:eastAsia="Verdana" w:hAnsi="Verdana" w:cs="Times New Roman"/>
        </w:rPr>
        <w:t>Popis systému pořizování, verifikace a doplňování dat o budovách do systému SAP REM.</w:t>
      </w:r>
    </w:p>
    <w:p w14:paraId="6A9ED225" w14:textId="77777777" w:rsidR="00172F07" w:rsidRPr="00F54337" w:rsidRDefault="00172F07" w:rsidP="00172F07">
      <w:pPr>
        <w:numPr>
          <w:ilvl w:val="0"/>
          <w:numId w:val="40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F54337">
        <w:rPr>
          <w:rFonts w:ascii="Verdana" w:eastAsia="Verdana" w:hAnsi="Verdana" w:cs="Times New Roman"/>
        </w:rPr>
        <w:t>Seznam požadovaných reportů pro potřeby řízení portfolia budov Správy železnic; reporty budou pilotně ověřeny.</w:t>
      </w:r>
    </w:p>
    <w:p w14:paraId="69F0CE39" w14:textId="77777777" w:rsidR="00172F07" w:rsidRPr="00F54337" w:rsidRDefault="00172F07" w:rsidP="00172F07">
      <w:pPr>
        <w:numPr>
          <w:ilvl w:val="0"/>
          <w:numId w:val="40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F54337">
        <w:rPr>
          <w:rFonts w:ascii="Verdana" w:eastAsia="Verdana" w:hAnsi="Verdana" w:cs="Times New Roman"/>
        </w:rPr>
        <w:t>Přehled datových toků pro potřeby naplnění reportů.</w:t>
      </w:r>
    </w:p>
    <w:p w14:paraId="5624596A" w14:textId="77777777" w:rsidR="00172F07" w:rsidRPr="00F54337" w:rsidRDefault="00172F07" w:rsidP="00172F07">
      <w:pPr>
        <w:numPr>
          <w:ilvl w:val="0"/>
          <w:numId w:val="40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F54337">
        <w:rPr>
          <w:rFonts w:ascii="Verdana" w:eastAsia="Verdana" w:hAnsi="Verdana" w:cs="Times New Roman"/>
        </w:rPr>
        <w:t>Seznam požadovaných úprav systému SAP REM.</w:t>
      </w:r>
    </w:p>
    <w:p w14:paraId="4B872940" w14:textId="77777777" w:rsidR="00172F07" w:rsidRPr="00F54337" w:rsidRDefault="00172F07" w:rsidP="00172F07">
      <w:pPr>
        <w:numPr>
          <w:ilvl w:val="0"/>
          <w:numId w:val="40"/>
        </w:numPr>
        <w:ind w:left="993" w:hanging="567"/>
        <w:contextualSpacing/>
        <w:jc w:val="both"/>
        <w:rPr>
          <w:rFonts w:ascii="Verdana" w:eastAsia="Verdana" w:hAnsi="Verdana" w:cs="Times New Roman"/>
        </w:rPr>
      </w:pPr>
      <w:r w:rsidRPr="00F54337">
        <w:rPr>
          <w:rFonts w:ascii="Verdana" w:eastAsia="Verdana" w:hAnsi="Verdana" w:cs="Times New Roman"/>
        </w:rPr>
        <w:t>Věcný a časový harmonogram dalšího postupu.</w:t>
      </w:r>
    </w:p>
    <w:p w14:paraId="15AA5F1A" w14:textId="77777777" w:rsidR="00406093" w:rsidRPr="00F54337" w:rsidRDefault="00406093" w:rsidP="00406093">
      <w:pPr>
        <w:spacing w:after="0" w:line="240" w:lineRule="auto"/>
        <w:ind w:left="929" w:right="28" w:hanging="219"/>
        <w:rPr>
          <w:rFonts w:ascii="Verdana" w:eastAsia="Verdana" w:hAnsi="Verdana" w:cs="Verdana"/>
        </w:rPr>
      </w:pPr>
    </w:p>
    <w:p w14:paraId="04F1CDDB" w14:textId="76155126" w:rsidR="002707F3" w:rsidRPr="00F54337" w:rsidRDefault="00406093" w:rsidP="002707F3">
      <w:pPr>
        <w:pStyle w:val="Odstavecseseznamem"/>
        <w:numPr>
          <w:ilvl w:val="0"/>
          <w:numId w:val="36"/>
        </w:numPr>
        <w:spacing w:after="0" w:line="240" w:lineRule="auto"/>
        <w:ind w:right="28"/>
        <w:contextualSpacing w:val="0"/>
      </w:pPr>
      <w:r w:rsidRPr="00F54337">
        <w:rPr>
          <w:rFonts w:ascii="Verdana" w:eastAsia="Verdana" w:hAnsi="Verdana" w:cs="Verdana"/>
        </w:rPr>
        <w:t>Ostatní ad hoc práce dle specifikace zadavatele</w:t>
      </w:r>
      <w:r w:rsidR="002707F3" w:rsidRPr="00F54337">
        <w:rPr>
          <w:rFonts w:ascii="Verdana" w:eastAsia="Verdana" w:hAnsi="Verdana" w:cs="Verdana"/>
        </w:rPr>
        <w:t>.</w:t>
      </w:r>
    </w:p>
    <w:p w14:paraId="03F039C6" w14:textId="37F066CF" w:rsidR="004E1498" w:rsidRDefault="004D6B02" w:rsidP="0015237E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 w:rsidRPr="00F54337">
        <w:rPr>
          <w:rFonts w:ascii="Verdana" w:eastAsia="Verdana" w:hAnsi="Verdana" w:cs="Verdana"/>
        </w:rPr>
        <w:t xml:space="preserve">Práce </w:t>
      </w:r>
      <w:r w:rsidR="00F54337">
        <w:rPr>
          <w:rFonts w:ascii="Verdana" w:eastAsia="Verdana" w:hAnsi="Verdana" w:cs="Verdana"/>
        </w:rPr>
        <w:t>kona</w:t>
      </w:r>
      <w:r w:rsidR="00F54337" w:rsidRPr="00F54337">
        <w:rPr>
          <w:rFonts w:ascii="Verdana" w:eastAsia="Verdana" w:hAnsi="Verdana" w:cs="Verdana"/>
        </w:rPr>
        <w:t xml:space="preserve">né </w:t>
      </w:r>
      <w:r>
        <w:rPr>
          <w:rFonts w:ascii="Verdana" w:eastAsia="Verdana" w:hAnsi="Verdana" w:cs="Verdana"/>
          <w:color w:val="000000"/>
        </w:rPr>
        <w:t>v</w:t>
      </w:r>
      <w:r w:rsidR="00F54337">
        <w:rPr>
          <w:rFonts w:ascii="Verdana" w:eastAsia="Verdana" w:hAnsi="Verdana" w:cs="Verdana"/>
          <w:color w:val="000000"/>
        </w:rPr>
        <w:t xml:space="preserve"> rámci </w:t>
      </w:r>
      <w:r>
        <w:rPr>
          <w:rFonts w:ascii="Verdana" w:eastAsia="Verdana" w:hAnsi="Verdana" w:cs="Verdana"/>
          <w:color w:val="000000"/>
        </w:rPr>
        <w:t>etap</w:t>
      </w:r>
      <w:r w:rsidR="008968E1">
        <w:rPr>
          <w:rFonts w:ascii="Verdana" w:eastAsia="Verdana" w:hAnsi="Verdana" w:cs="Verdana"/>
          <w:color w:val="000000"/>
        </w:rPr>
        <w:t>y</w:t>
      </w:r>
      <w:r>
        <w:rPr>
          <w:rFonts w:ascii="Verdana" w:eastAsia="Verdana" w:hAnsi="Verdana" w:cs="Verdana"/>
          <w:color w:val="000000"/>
        </w:rPr>
        <w:t xml:space="preserve"> 5) může Objednatel objednat v maximálním rozsahu 150 hodin za celou dobu plnění, Objednatel však není povinen objednat byť jednu hodinu těchto prací.</w:t>
      </w:r>
    </w:p>
    <w:p w14:paraId="3C79353C" w14:textId="1CA4EBB1" w:rsidR="004D6B02" w:rsidRDefault="004D6B02" w:rsidP="0015237E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 xml:space="preserve">Objednatel </w:t>
      </w:r>
      <w:r w:rsidR="00B4119D">
        <w:rPr>
          <w:rFonts w:ascii="Verdana" w:eastAsia="Verdana" w:hAnsi="Verdana" w:cs="Verdana"/>
          <w:color w:val="000000"/>
        </w:rPr>
        <w:t xml:space="preserve">je oprávněn </w:t>
      </w:r>
      <w:r>
        <w:rPr>
          <w:rFonts w:ascii="Verdana" w:eastAsia="Verdana" w:hAnsi="Verdana" w:cs="Verdana"/>
          <w:color w:val="000000"/>
        </w:rPr>
        <w:t>tyto práce objednat nejpozději</w:t>
      </w:r>
      <w:r w:rsidR="00B4119D">
        <w:rPr>
          <w:rFonts w:ascii="Verdana" w:eastAsia="Verdana" w:hAnsi="Verdana" w:cs="Verdana"/>
          <w:color w:val="000000"/>
        </w:rPr>
        <w:t xml:space="preserve"> do</w:t>
      </w:r>
      <w:r>
        <w:rPr>
          <w:rFonts w:ascii="Verdana" w:eastAsia="Verdana" w:hAnsi="Verdana" w:cs="Verdana"/>
          <w:color w:val="000000"/>
        </w:rPr>
        <w:t xml:space="preserve"> 6 měsíců od účinnosti smlouvy, nedohodnou-li se strany jinak.</w:t>
      </w:r>
    </w:p>
    <w:p w14:paraId="4A70154B" w14:textId="4EDFC005" w:rsidR="00132571" w:rsidRDefault="00132571" w:rsidP="0015237E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Práce v etapě 5</w:t>
      </w:r>
      <w:r w:rsidR="008968E1">
        <w:rPr>
          <w:rFonts w:ascii="Verdana" w:eastAsia="Verdana" w:hAnsi="Verdana" w:cs="Verdana"/>
          <w:color w:val="000000"/>
        </w:rPr>
        <w:t>)</w:t>
      </w:r>
      <w:r>
        <w:rPr>
          <w:rFonts w:ascii="Verdana" w:eastAsia="Verdana" w:hAnsi="Verdana" w:cs="Verdana"/>
          <w:color w:val="000000"/>
        </w:rPr>
        <w:t xml:space="preserve"> </w:t>
      </w:r>
      <w:r w:rsidRPr="0015237E">
        <w:rPr>
          <w:rFonts w:ascii="Verdana" w:eastAsia="Verdana" w:hAnsi="Verdana" w:cs="Verdana"/>
          <w:color w:val="000000"/>
        </w:rPr>
        <w:t>budou obdobného charakteru jako práce uvedené v etapách 1</w:t>
      </w:r>
      <w:r w:rsidR="008968E1">
        <w:rPr>
          <w:rFonts w:ascii="Verdana" w:eastAsia="Verdana" w:hAnsi="Verdana" w:cs="Verdana"/>
          <w:color w:val="000000"/>
        </w:rPr>
        <w:t>)</w:t>
      </w:r>
      <w:r w:rsidRPr="0015237E">
        <w:rPr>
          <w:rFonts w:ascii="Verdana" w:eastAsia="Verdana" w:hAnsi="Verdana" w:cs="Verdana"/>
          <w:color w:val="000000"/>
        </w:rPr>
        <w:t xml:space="preserve"> – 4</w:t>
      </w:r>
      <w:r w:rsidR="008968E1">
        <w:rPr>
          <w:rFonts w:ascii="Verdana" w:eastAsia="Verdana" w:hAnsi="Verdana" w:cs="Verdana"/>
          <w:color w:val="000000"/>
        </w:rPr>
        <w:t>)</w:t>
      </w:r>
      <w:r w:rsidRPr="0015237E">
        <w:rPr>
          <w:rFonts w:ascii="Verdana" w:eastAsia="Verdana" w:hAnsi="Verdana" w:cs="Verdana"/>
          <w:color w:val="000000"/>
        </w:rPr>
        <w:t xml:space="preserve"> předmětu plnění. Budou zadávány v souvislosti s těmito etapami, zpravidla sloužící k doplnění plnění učiněných v etapě 1</w:t>
      </w:r>
      <w:r w:rsidR="008968E1">
        <w:rPr>
          <w:rFonts w:ascii="Verdana" w:eastAsia="Verdana" w:hAnsi="Verdana" w:cs="Verdana"/>
          <w:color w:val="000000"/>
        </w:rPr>
        <w:t>)</w:t>
      </w:r>
      <w:r w:rsidRPr="0015237E">
        <w:rPr>
          <w:rFonts w:ascii="Verdana" w:eastAsia="Verdana" w:hAnsi="Verdana" w:cs="Verdana"/>
          <w:color w:val="000000"/>
        </w:rPr>
        <w:t xml:space="preserve"> – 4</w:t>
      </w:r>
      <w:r w:rsidR="008968E1">
        <w:rPr>
          <w:rFonts w:ascii="Verdana" w:eastAsia="Verdana" w:hAnsi="Verdana" w:cs="Verdana"/>
          <w:color w:val="000000"/>
        </w:rPr>
        <w:t>)</w:t>
      </w:r>
      <w:r w:rsidRPr="0015237E">
        <w:rPr>
          <w:rFonts w:ascii="Verdana" w:eastAsia="Verdana" w:hAnsi="Verdana" w:cs="Verdana"/>
          <w:color w:val="000000"/>
        </w:rPr>
        <w:t>.</w:t>
      </w:r>
    </w:p>
    <w:p w14:paraId="32EAEFA5" w14:textId="764FD316" w:rsidR="004D6B02" w:rsidRDefault="004D6B02" w:rsidP="0015237E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t>Objednatel bude objednávat práce písemně, zpravidla prostřednictvím kontaktních osob. Objednávka bude realizován prostřednictvím e-mailové pošty, a to tak, že Objednatel stanoví konkrétní zadání Zhotoviteli. Zhotovitel do 24 hodin</w:t>
      </w:r>
      <w:r w:rsidR="00132571">
        <w:rPr>
          <w:rFonts w:ascii="Verdana" w:eastAsia="Verdana" w:hAnsi="Verdana" w:cs="Verdana"/>
          <w:color w:val="000000"/>
        </w:rPr>
        <w:t xml:space="preserve"> od obdržení zadání</w:t>
      </w:r>
      <w:r>
        <w:rPr>
          <w:rFonts w:ascii="Verdana" w:eastAsia="Verdana" w:hAnsi="Verdana" w:cs="Verdana"/>
          <w:color w:val="000000"/>
        </w:rPr>
        <w:t xml:space="preserve"> navrhne pracnost požadovaných prací. Objednatel potvrdí stanovenou </w:t>
      </w:r>
      <w:r w:rsidR="00132571">
        <w:rPr>
          <w:rFonts w:ascii="Verdana" w:eastAsia="Verdana" w:hAnsi="Verdana" w:cs="Verdana"/>
          <w:color w:val="000000"/>
        </w:rPr>
        <w:t>pracnost</w:t>
      </w:r>
      <w:r>
        <w:rPr>
          <w:rFonts w:ascii="Verdana" w:eastAsia="Verdana" w:hAnsi="Verdana" w:cs="Verdana"/>
          <w:color w:val="000000"/>
        </w:rPr>
        <w:t xml:space="preserve">, popřípadě vznese námitky proti stanovené pracnosti. V případě, že se rozpory v rozsahu pracnosti nepodaří odstranit, Objednatel je oprávněn ke stanovení pracnosti </w:t>
      </w:r>
      <w:r>
        <w:rPr>
          <w:rFonts w:ascii="Verdana" w:eastAsia="Verdana" w:hAnsi="Verdana" w:cs="Verdana"/>
          <w:color w:val="000000"/>
        </w:rPr>
        <w:lastRenderedPageBreak/>
        <w:t>stanovit nezávislého znalce. Případné náklady na znalce nese Zhotovitel, ledaže se prokáže</w:t>
      </w:r>
      <w:r w:rsidR="00132571">
        <w:rPr>
          <w:rFonts w:ascii="Verdana" w:eastAsia="Verdana" w:hAnsi="Verdana" w:cs="Verdana"/>
          <w:color w:val="000000"/>
        </w:rPr>
        <w:t>, že</w:t>
      </w:r>
      <w:r>
        <w:rPr>
          <w:rFonts w:ascii="Verdana" w:eastAsia="Verdana" w:hAnsi="Verdana" w:cs="Verdana"/>
          <w:color w:val="000000"/>
        </w:rPr>
        <w:t xml:space="preserve"> Zhotovitelem stanovený rozsah pracnosti byl stanoven správně. Jakmile je stanoven rozsah pracnosti, Zhotovitel je povinen provést zadání zadané Objednatelem. V případě, že b</w:t>
      </w:r>
      <w:r w:rsidR="00132571">
        <w:rPr>
          <w:rFonts w:ascii="Verdana" w:eastAsia="Verdana" w:hAnsi="Verdana" w:cs="Verdana"/>
          <w:color w:val="000000"/>
        </w:rPr>
        <w:t>y</w:t>
      </w:r>
      <w:r>
        <w:rPr>
          <w:rFonts w:ascii="Verdana" w:eastAsia="Verdana" w:hAnsi="Verdana" w:cs="Verdana"/>
          <w:color w:val="000000"/>
        </w:rPr>
        <w:t xml:space="preserve"> se v průběhu realizace ukázalo, že rozsah pracnosti neb</w:t>
      </w:r>
      <w:r w:rsidR="00132571">
        <w:rPr>
          <w:rFonts w:ascii="Verdana" w:eastAsia="Verdana" w:hAnsi="Verdana" w:cs="Verdana"/>
          <w:color w:val="000000"/>
        </w:rPr>
        <w:t>y</w:t>
      </w:r>
      <w:r>
        <w:rPr>
          <w:rFonts w:ascii="Verdana" w:eastAsia="Verdana" w:hAnsi="Verdana" w:cs="Verdana"/>
          <w:color w:val="000000"/>
        </w:rPr>
        <w:t>l stanoven správně</w:t>
      </w:r>
      <w:r w:rsidR="00132571">
        <w:rPr>
          <w:rFonts w:ascii="Verdana" w:eastAsia="Verdana" w:hAnsi="Verdana" w:cs="Verdana"/>
          <w:color w:val="000000"/>
        </w:rPr>
        <w:t>,</w:t>
      </w:r>
      <w:r>
        <w:rPr>
          <w:rFonts w:ascii="Verdana" w:eastAsia="Verdana" w:hAnsi="Verdana" w:cs="Verdana"/>
          <w:color w:val="000000"/>
        </w:rPr>
        <w:t xml:space="preserve"> Zhotovitel o této skutečnosti informuje </w:t>
      </w:r>
      <w:r w:rsidR="00132571">
        <w:rPr>
          <w:rFonts w:ascii="Verdana" w:eastAsia="Verdana" w:hAnsi="Verdana" w:cs="Verdana"/>
          <w:color w:val="000000"/>
        </w:rPr>
        <w:t>Objednatele</w:t>
      </w:r>
      <w:r>
        <w:rPr>
          <w:rFonts w:ascii="Verdana" w:eastAsia="Verdana" w:hAnsi="Verdana" w:cs="Verdana"/>
          <w:color w:val="000000"/>
        </w:rPr>
        <w:t>, ten následně</w:t>
      </w:r>
      <w:r w:rsidR="00132571">
        <w:rPr>
          <w:rFonts w:ascii="Verdana" w:eastAsia="Verdana" w:hAnsi="Verdana" w:cs="Verdana"/>
          <w:color w:val="000000"/>
        </w:rPr>
        <w:t xml:space="preserve"> potvrdí nový rozsah pracnosti či změní zadání tak, aby byl dodržen původní rozsah pracnosti, popřípadě vznese námitky, že k navýšení rozsahu pracnosti není důvod.</w:t>
      </w:r>
    </w:p>
    <w:p w14:paraId="7DF2ACA1" w14:textId="69106387" w:rsidR="001B6687" w:rsidRPr="001B6687" w:rsidRDefault="001B6687" w:rsidP="001B6687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rFonts w:ascii="Verdana" w:eastAsia="Verdana" w:hAnsi="Verdana" w:cs="Verdana"/>
          <w:color w:val="000000"/>
        </w:rPr>
      </w:pPr>
      <w:r w:rsidRPr="00D17334">
        <w:rPr>
          <w:rFonts w:ascii="Verdana" w:eastAsia="Verdana" w:hAnsi="Verdana" w:cs="Verdana"/>
          <w:color w:val="000000"/>
        </w:rPr>
        <w:t>Konkrétní forma jednotlivých výstupů</w:t>
      </w:r>
      <w:r>
        <w:rPr>
          <w:rFonts w:ascii="Verdana" w:eastAsia="Verdana" w:hAnsi="Verdana" w:cs="Verdana"/>
          <w:color w:val="000000"/>
        </w:rPr>
        <w:t xml:space="preserve"> (tištěná, elektronická apod.)</w:t>
      </w:r>
      <w:r w:rsidRPr="00D17334">
        <w:rPr>
          <w:rFonts w:ascii="Verdana" w:eastAsia="Verdana" w:hAnsi="Verdana" w:cs="Verdana"/>
          <w:color w:val="000000"/>
        </w:rPr>
        <w:t xml:space="preserve"> etap 1) – 5) bude specifikována Objednatelem v</w:t>
      </w:r>
      <w:r>
        <w:rPr>
          <w:rFonts w:ascii="Verdana" w:eastAsia="Verdana" w:hAnsi="Verdana" w:cs="Verdana"/>
          <w:color w:val="000000"/>
        </w:rPr>
        <w:t> průběhu zhotovování Díla v</w:t>
      </w:r>
      <w:r w:rsidRPr="00D17334">
        <w:rPr>
          <w:rFonts w:ascii="Verdana" w:eastAsia="Verdana" w:hAnsi="Verdana" w:cs="Verdana"/>
          <w:color w:val="000000"/>
        </w:rPr>
        <w:t> závislosti na obsahu jednotlivých výstu</w:t>
      </w:r>
      <w:r w:rsidRPr="001B6687">
        <w:rPr>
          <w:rFonts w:ascii="Verdana" w:eastAsia="Verdana" w:hAnsi="Verdana" w:cs="Verdana"/>
          <w:color w:val="000000"/>
        </w:rPr>
        <w:t>pů. Zhotovitel bude včas o t</w:t>
      </w:r>
      <w:r>
        <w:rPr>
          <w:rFonts w:ascii="Verdana" w:eastAsia="Verdana" w:hAnsi="Verdana" w:cs="Verdana"/>
          <w:color w:val="000000"/>
        </w:rPr>
        <w:t>éto formě</w:t>
      </w:r>
      <w:r w:rsidRPr="00D17334">
        <w:rPr>
          <w:rFonts w:ascii="Verdana" w:eastAsia="Verdana" w:hAnsi="Verdana" w:cs="Verdana"/>
          <w:color w:val="000000"/>
        </w:rPr>
        <w:t xml:space="preserve"> inform</w:t>
      </w:r>
      <w:r>
        <w:rPr>
          <w:rFonts w:ascii="Verdana" w:eastAsia="Verdana" w:hAnsi="Verdana" w:cs="Verdana"/>
          <w:color w:val="000000"/>
        </w:rPr>
        <w:t>ov</w:t>
      </w:r>
      <w:r w:rsidRPr="001B6687">
        <w:rPr>
          <w:rFonts w:ascii="Verdana" w:eastAsia="Verdana" w:hAnsi="Verdana" w:cs="Verdana"/>
          <w:color w:val="000000"/>
        </w:rPr>
        <w:t>á</w:t>
      </w:r>
      <w:r>
        <w:rPr>
          <w:rFonts w:ascii="Verdana" w:eastAsia="Verdana" w:hAnsi="Verdana" w:cs="Verdana"/>
          <w:color w:val="000000"/>
        </w:rPr>
        <w:t>n</w:t>
      </w:r>
      <w:r w:rsidRPr="00D17334">
        <w:rPr>
          <w:rFonts w:ascii="Verdana" w:eastAsia="Verdana" w:hAnsi="Verdana" w:cs="Verdana"/>
          <w:color w:val="000000"/>
        </w:rPr>
        <w:t xml:space="preserve">. 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A059501" w:rsidR="005740C3" w:rsidRDefault="00406093" w:rsidP="005740C3">
      <w:pPr>
        <w:pStyle w:val="Nadpis2"/>
        <w:jc w:val="left"/>
      </w:pPr>
      <w:r>
        <w:t xml:space="preserve">Celková cena za 1.- 4. etapu </w:t>
      </w:r>
      <w:r w:rsidR="00810E9B" w:rsidRPr="00275474">
        <w:t xml:space="preserve">bez DPH </w:t>
      </w:r>
      <w:r w:rsidR="00810E9B" w:rsidRPr="00275474">
        <w:tab/>
      </w:r>
      <w:r w:rsidR="00810E9B" w:rsidRPr="00275474">
        <w:tab/>
        <w:t xml:space="preserve"> </w:t>
      </w:r>
      <w:r w:rsidR="00810E9B" w:rsidRPr="00406093">
        <w:rPr>
          <w:highlight w:val="yellow"/>
        </w:rPr>
        <w:t>……………….</w:t>
      </w:r>
      <w:r w:rsidR="00810E9B" w:rsidRPr="00275474">
        <w:t xml:space="preserve"> Kč. </w:t>
      </w:r>
    </w:p>
    <w:p w14:paraId="7979BC31" w14:textId="35D4259D" w:rsidR="005740C3" w:rsidRDefault="00810E9B" w:rsidP="00406093">
      <w:pPr>
        <w:pStyle w:val="Nadpis2"/>
        <w:numPr>
          <w:ilvl w:val="0"/>
          <w:numId w:val="0"/>
        </w:numPr>
        <w:ind w:left="576"/>
        <w:jc w:val="left"/>
      </w:pPr>
      <w:r w:rsidRPr="00275474">
        <w:t xml:space="preserve">Výše DPH 21%     </w:t>
      </w:r>
      <w:r w:rsidRPr="00275474">
        <w:tab/>
        <w:t xml:space="preserve"> </w:t>
      </w:r>
      <w:r w:rsidR="00406093">
        <w:tab/>
      </w:r>
      <w:r w:rsidR="00406093">
        <w:tab/>
      </w:r>
      <w:r w:rsidR="00406093">
        <w:tab/>
        <w:t xml:space="preserve"> </w:t>
      </w:r>
      <w:r w:rsidRPr="00406093">
        <w:rPr>
          <w:highlight w:val="yellow"/>
        </w:rPr>
        <w:t>……………….</w:t>
      </w:r>
      <w:r w:rsidRPr="00275474">
        <w:t xml:space="preserve"> Kč.</w:t>
      </w:r>
    </w:p>
    <w:p w14:paraId="1C29EFE3" w14:textId="38788994" w:rsidR="00406093" w:rsidRDefault="00406093" w:rsidP="00406093">
      <w:pPr>
        <w:pStyle w:val="Nadpis2"/>
        <w:numPr>
          <w:ilvl w:val="0"/>
          <w:numId w:val="0"/>
        </w:numPr>
        <w:ind w:left="576"/>
        <w:jc w:val="left"/>
      </w:pPr>
      <w:r>
        <w:t>Celková cena za 1.- 4. etapu</w:t>
      </w:r>
      <w:r w:rsidR="00810E9B" w:rsidRPr="00275474">
        <w:t xml:space="preserve"> včetně DPH </w:t>
      </w:r>
      <w:r w:rsidR="00810E9B" w:rsidRPr="00275474">
        <w:tab/>
        <w:t xml:space="preserve"> </w:t>
      </w:r>
      <w:r w:rsidR="00810E9B" w:rsidRPr="00406093">
        <w:rPr>
          <w:highlight w:val="yellow"/>
        </w:rPr>
        <w:t>……………….</w:t>
      </w:r>
      <w:r w:rsidR="00810E9B" w:rsidRPr="00275474">
        <w:t xml:space="preserve"> Kč.</w:t>
      </w:r>
    </w:p>
    <w:p w14:paraId="0342CB1C" w14:textId="77777777" w:rsidR="00406093" w:rsidRPr="00406093" w:rsidRDefault="00406093" w:rsidP="00406093">
      <w:pPr>
        <w:spacing w:after="0"/>
        <w:rPr>
          <w:lang w:eastAsia="cs-CZ"/>
        </w:rPr>
      </w:pPr>
    </w:p>
    <w:p w14:paraId="20249744" w14:textId="4B74BB3F" w:rsidR="00406093" w:rsidRDefault="00B50C74" w:rsidP="00406093">
      <w:pPr>
        <w:pStyle w:val="Nadpis2"/>
        <w:jc w:val="left"/>
      </w:pPr>
      <w:r>
        <w:t xml:space="preserve">Cena za 1 </w:t>
      </w:r>
      <w:r w:rsidR="002707F3">
        <w:t>hod.</w:t>
      </w:r>
      <w:r>
        <w:t xml:space="preserve"> ad</w:t>
      </w:r>
      <w:r w:rsidR="00406093">
        <w:t xml:space="preserve"> hoc práce bez DPH</w:t>
      </w:r>
      <w:r w:rsidR="00406093">
        <w:tab/>
      </w:r>
      <w:r w:rsidR="00406093">
        <w:tab/>
      </w:r>
      <w:r w:rsidR="00406093" w:rsidRPr="00406093">
        <w:rPr>
          <w:highlight w:val="yellow"/>
        </w:rPr>
        <w:t>……………….</w:t>
      </w:r>
      <w:r w:rsidR="00406093" w:rsidRPr="00275474">
        <w:t xml:space="preserve"> Kč.</w:t>
      </w:r>
    </w:p>
    <w:p w14:paraId="61FCE14F" w14:textId="6DE8A65F" w:rsidR="00406093" w:rsidRDefault="00406093" w:rsidP="00406093">
      <w:pPr>
        <w:pStyle w:val="Nadpis2"/>
        <w:numPr>
          <w:ilvl w:val="0"/>
          <w:numId w:val="0"/>
        </w:numPr>
        <w:tabs>
          <w:tab w:val="left" w:pos="4962"/>
        </w:tabs>
        <w:ind w:left="576"/>
        <w:jc w:val="left"/>
      </w:pPr>
      <w:r>
        <w:t xml:space="preserve">Výše DPH 21%     </w:t>
      </w:r>
      <w:r>
        <w:tab/>
      </w:r>
      <w:r w:rsidRPr="00406093">
        <w:rPr>
          <w:highlight w:val="yellow"/>
        </w:rPr>
        <w:t>……………….</w:t>
      </w:r>
      <w:r w:rsidRPr="00275474">
        <w:t xml:space="preserve"> Kč.</w:t>
      </w:r>
    </w:p>
    <w:p w14:paraId="7760AA96" w14:textId="12AD9B17" w:rsidR="00406093" w:rsidRPr="00406093" w:rsidRDefault="00B50C74" w:rsidP="00406093">
      <w:pPr>
        <w:ind w:left="576"/>
        <w:rPr>
          <w:lang w:eastAsia="cs-CZ"/>
        </w:rPr>
      </w:pPr>
      <w:r>
        <w:t>Cena z</w:t>
      </w:r>
      <w:r w:rsidR="002707F3">
        <w:t>a 1 hod.</w:t>
      </w:r>
      <w:r>
        <w:t xml:space="preserve"> ad</w:t>
      </w:r>
      <w:r w:rsidR="00406093">
        <w:t xml:space="preserve"> hoc práce</w:t>
      </w:r>
      <w:r w:rsidR="00406093" w:rsidRPr="00275474">
        <w:t xml:space="preserve"> včetně DPH </w:t>
      </w:r>
      <w:r w:rsidR="00406093" w:rsidRPr="00275474">
        <w:tab/>
      </w:r>
      <w:r w:rsidR="00406093" w:rsidRPr="00406093">
        <w:rPr>
          <w:highlight w:val="yellow"/>
        </w:rPr>
        <w:t>……………….</w:t>
      </w:r>
      <w:r w:rsidR="00406093" w:rsidRPr="00275474">
        <w:t xml:space="preserve"> Kč.</w:t>
      </w:r>
    </w:p>
    <w:p w14:paraId="28C81697" w14:textId="78D66A83" w:rsidR="00810E9B" w:rsidRPr="00B50C74" w:rsidRDefault="00810E9B" w:rsidP="00275474">
      <w:pPr>
        <w:pStyle w:val="Nadpis2"/>
        <w:jc w:val="left"/>
      </w:pPr>
      <w:r w:rsidRPr="00B50C74">
        <w:t xml:space="preserve">Fakturace </w:t>
      </w:r>
      <w:r w:rsidR="00406093" w:rsidRPr="00B50C74">
        <w:t xml:space="preserve">za 1. – 4. etapu </w:t>
      </w:r>
      <w:r w:rsidRPr="00B50C74">
        <w:t>bude provedena</w:t>
      </w:r>
      <w:r w:rsidR="00FC062A" w:rsidRPr="00B50C74">
        <w:t xml:space="preserve"> Zhotovitelem po dokončení 4. etapy</w:t>
      </w:r>
      <w:r w:rsidRPr="00B50C74">
        <w:t xml:space="preserve"> </w:t>
      </w:r>
      <w:r w:rsidR="00CB53B1" w:rsidRPr="00B50C74">
        <w:t xml:space="preserve">na základě </w:t>
      </w:r>
      <w:r w:rsidR="00406093" w:rsidRPr="00B50C74">
        <w:t>p</w:t>
      </w:r>
      <w:r w:rsidR="00CB53B1" w:rsidRPr="00B50C74">
        <w:t xml:space="preserve">ředávacího protokolu podepsaného </w:t>
      </w:r>
      <w:r w:rsidR="006566F7" w:rsidRPr="00B50C74">
        <w:t>oběma S</w:t>
      </w:r>
      <w:r w:rsidR="00FA32F8" w:rsidRPr="00B50C74">
        <w:t>mluvními stranami</w:t>
      </w:r>
      <w:r w:rsidR="001C29AD" w:rsidRPr="00B50C74">
        <w:t>.</w:t>
      </w:r>
    </w:p>
    <w:p w14:paraId="6BE45CF6" w14:textId="1A96110F" w:rsidR="001C29AD" w:rsidRPr="00B50C74" w:rsidRDefault="00B50C74" w:rsidP="001C29AD">
      <w:pPr>
        <w:pStyle w:val="Nadpis2"/>
        <w:jc w:val="left"/>
        <w:rPr>
          <w:rFonts w:asciiTheme="majorHAnsi" w:hAnsiTheme="majorHAnsi" w:cs="Calibri"/>
          <w:b/>
        </w:rPr>
      </w:pPr>
      <w:r>
        <w:t>Fakturace za 5. etapu práce a</w:t>
      </w:r>
      <w:r w:rsidR="001C29AD" w:rsidRPr="00B50C74">
        <w:t xml:space="preserve">d hoc </w:t>
      </w:r>
      <w:r w:rsidR="001C29AD" w:rsidRPr="00B50C74">
        <w:rPr>
          <w:rFonts w:asciiTheme="majorHAnsi" w:hAnsiTheme="majorHAnsi"/>
        </w:rPr>
        <w:t>bude provedena na základě faktury vystavené Zhotovitelem, a to vždy na základě skutečně provedených služeb</w:t>
      </w:r>
      <w:r w:rsidR="004D6B02">
        <w:rPr>
          <w:rFonts w:asciiTheme="majorHAnsi" w:hAnsiTheme="majorHAnsi"/>
        </w:rPr>
        <w:t xml:space="preserve"> v souladu s učiněnou objednávkou</w:t>
      </w:r>
      <w:r w:rsidR="001C29AD" w:rsidRPr="00B50C74">
        <w:rPr>
          <w:rFonts w:asciiTheme="majorHAnsi" w:hAnsiTheme="majorHAnsi"/>
        </w:rPr>
        <w:t xml:space="preserve">, po jejich dokončení a převzetí ze strany Objednatele, na základě úkolového listu, jehož výsledkem je předávací protokol podepsaný oběma smluvními stranami. 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773EB070" w14:textId="6F3F9949" w:rsidR="00CB53B1" w:rsidRPr="00522B06" w:rsidRDefault="004E1498" w:rsidP="00A249CE">
      <w:pPr>
        <w:pStyle w:val="Nadpis2"/>
        <w:jc w:val="left"/>
      </w:pPr>
      <w:r w:rsidRPr="00522B06">
        <w:t>Místem plnění je</w:t>
      </w:r>
      <w:r w:rsidR="001C29AD" w:rsidRPr="00522B06">
        <w:t xml:space="preserve"> </w:t>
      </w:r>
      <w:r w:rsidR="001C29AD" w:rsidRPr="00522B06">
        <w:rPr>
          <w:rFonts w:ascii="Verdana" w:eastAsia="Verdana" w:hAnsi="Verdana" w:cs="Verdana"/>
          <w:color w:val="000000"/>
        </w:rPr>
        <w:t>Praha 1 - Nové Město, Dlážděná 1003/7, 110 00.</w:t>
      </w:r>
    </w:p>
    <w:p w14:paraId="123A3445" w14:textId="0401B7C1" w:rsidR="00522B06" w:rsidRPr="00522B06" w:rsidRDefault="004E1498" w:rsidP="00522B06">
      <w:pPr>
        <w:pStyle w:val="Nadpis2"/>
        <w:jc w:val="left"/>
      </w:pPr>
      <w:r w:rsidRPr="00522B06">
        <w:t>Z</w:t>
      </w:r>
      <w:r w:rsidR="005740C3" w:rsidRPr="00522B06">
        <w:t xml:space="preserve">hotovitel je povinen provést a předat </w:t>
      </w:r>
      <w:r w:rsidR="00D7332F">
        <w:t>Dílo nejpozději do</w:t>
      </w:r>
      <w:r w:rsidR="00522B06" w:rsidRPr="00522B06">
        <w:t>:</w:t>
      </w:r>
    </w:p>
    <w:p w14:paraId="215E1116" w14:textId="4E1C278C" w:rsidR="00522B06" w:rsidRPr="00522B06" w:rsidRDefault="00522B06" w:rsidP="00522B06">
      <w:pPr>
        <w:pStyle w:val="Nadpis2"/>
        <w:numPr>
          <w:ilvl w:val="0"/>
          <w:numId w:val="34"/>
        </w:numPr>
        <w:jc w:val="left"/>
      </w:pPr>
      <w:r w:rsidRPr="00522B06">
        <w:t>Etapa 1 - 4 (fixní část) do 4 měsíců od účinnosti smlouvy o dílo</w:t>
      </w:r>
    </w:p>
    <w:p w14:paraId="624D8729" w14:textId="11864298" w:rsidR="005740C3" w:rsidRPr="005740C3" w:rsidRDefault="00522B06" w:rsidP="00522B06">
      <w:pPr>
        <w:pStyle w:val="Nadpis2"/>
        <w:numPr>
          <w:ilvl w:val="0"/>
          <w:numId w:val="34"/>
        </w:numPr>
        <w:jc w:val="left"/>
      </w:pPr>
      <w:r w:rsidRPr="00522B06">
        <w:t>Etapa 5 (ad hoc práce) do 8 měsíců</w:t>
      </w:r>
      <w:r w:rsidRPr="00107CC2">
        <w:t xml:space="preserve"> od účinnosti smlouvy o dílo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lastRenderedPageBreak/>
        <w:t>Záruční doba</w:t>
      </w:r>
    </w:p>
    <w:p w14:paraId="76B099DF" w14:textId="46EEACFB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816B59">
        <w:t>24 měsíců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>.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13C1447E" w:rsidR="00FD17C6" w:rsidRPr="00522B06" w:rsidRDefault="00FD17C6" w:rsidP="00275474">
      <w:pPr>
        <w:pStyle w:val="Nadpis2"/>
        <w:jc w:val="left"/>
      </w:pPr>
      <w:r w:rsidRPr="00522B06">
        <w:t>Na provedení Díla se budou podílet č</w:t>
      </w:r>
      <w:r w:rsidR="00816B59" w:rsidRPr="00522B06">
        <w:t>lenové realizačního týmu uvedení</w:t>
      </w:r>
      <w:r w:rsidR="00522B06" w:rsidRPr="00522B06">
        <w:t xml:space="preserve"> v příloze č. 1 </w:t>
      </w:r>
      <w:r w:rsidR="006566F7" w:rsidRPr="00522B06">
        <w:t>této S</w:t>
      </w:r>
      <w:r w:rsidRPr="00522B06">
        <w:t>mlouvy.</w:t>
      </w:r>
    </w:p>
    <w:p w14:paraId="11AD6701" w14:textId="08744D9C" w:rsidR="00FD17C6" w:rsidRPr="00522B06" w:rsidRDefault="00FD17C6" w:rsidP="00522B06">
      <w:pPr>
        <w:pStyle w:val="Nadpis2"/>
        <w:jc w:val="left"/>
      </w:pPr>
      <w:r w:rsidRPr="00522B06">
        <w:t>Zhotovitel může v průběhu plnění Předmětu díla nahradit některé osoby z osob, uvedených v seznamu realizačního týmu dle přílohy č</w:t>
      </w:r>
      <w:r w:rsidR="00522B06" w:rsidRPr="00522B06">
        <w:t>. 1</w:t>
      </w:r>
      <w:r w:rsidRPr="00522B06">
        <w:t xml:space="preserve"> této </w:t>
      </w:r>
      <w:r w:rsidR="00A605AE" w:rsidRPr="00522B06">
        <w:t>S</w:t>
      </w:r>
      <w:r w:rsidRPr="00522B06">
        <w:t>mlouvy, pouze po předchozím souhlasu Objednatele na základě písemné žádosti Zhotovitele. V případě, že Zhotovitel požádá o změnu některých členů realizační</w:t>
      </w:r>
      <w:r w:rsidR="00522B06" w:rsidRPr="00522B06">
        <w:t>ho týmu uvedeného v příloze č. 1</w:t>
      </w:r>
      <w:r w:rsidRPr="00522B06">
        <w:t xml:space="preserve"> 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lastRenderedPageBreak/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585C4CE4" w:rsidR="006E6E61" w:rsidRPr="009C30C5" w:rsidRDefault="00D751D9" w:rsidP="00D751D9">
      <w:pPr>
        <w:pStyle w:val="Nadpis2"/>
      </w:pPr>
      <w:r>
        <w:t xml:space="preserve">Tato Smlouva je vyhotovena v elektronické podobě, přičemž obě Smluvní strany obdrží její elektronický originál </w:t>
      </w:r>
      <w:r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522B06" w:rsidRDefault="004E1498" w:rsidP="009C30C5">
      <w:pPr>
        <w:pStyle w:val="Nadpis2"/>
        <w:ind w:left="567" w:hanging="567"/>
        <w:jc w:val="left"/>
      </w:pPr>
      <w:r w:rsidRPr="00522B06">
        <w:rPr>
          <w:rFonts w:eastAsia="Calibri"/>
        </w:rPr>
        <w:t xml:space="preserve">Tato </w:t>
      </w:r>
      <w:r w:rsidR="00D9782E" w:rsidRPr="00522B06">
        <w:rPr>
          <w:rFonts w:eastAsia="Calibri"/>
        </w:rPr>
        <w:t>Sml</w:t>
      </w:r>
      <w:r w:rsidRPr="00522B06">
        <w:rPr>
          <w:rFonts w:eastAsia="Calibri"/>
        </w:rPr>
        <w:t xml:space="preserve">ouva nabývá platnosti okamžikem podpisu poslední ze </w:t>
      </w:r>
      <w:r w:rsidR="00D9782E" w:rsidRPr="00522B06">
        <w:rPr>
          <w:rFonts w:eastAsia="Calibri"/>
        </w:rPr>
        <w:t>Sml</w:t>
      </w:r>
      <w:r w:rsidRPr="00522B06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8992918" w14:textId="2D05F55D" w:rsidR="00522B06" w:rsidRPr="00522B06" w:rsidRDefault="00522B06" w:rsidP="00522B06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522B06">
        <w:rPr>
          <w:rFonts w:eastAsia="Times New Roman" w:cs="Times New Roman"/>
          <w:lang w:eastAsia="cs-CZ"/>
        </w:rPr>
        <w:t>Seznam realizačního týmu</w:t>
      </w:r>
      <w:r>
        <w:rPr>
          <w:rFonts w:eastAsia="Times New Roman" w:cs="Times New Roman"/>
          <w:highlight w:val="yellow"/>
          <w:lang w:eastAsia="cs-CZ"/>
        </w:rPr>
        <w:t>- doplní Zhotovitel</w:t>
      </w:r>
    </w:p>
    <w:p w14:paraId="077D172E" w14:textId="38E371FF" w:rsidR="006E6E61" w:rsidRPr="004E1498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S</w:t>
      </w:r>
      <w:r w:rsidR="006E6E61" w:rsidRPr="004E1498">
        <w:rPr>
          <w:rFonts w:eastAsia="Times New Roman" w:cs="Times New Roman"/>
          <w:highlight w:val="yellow"/>
          <w:lang w:eastAsia="cs-CZ"/>
        </w:rPr>
        <w:t>eznam poddodavatelů</w:t>
      </w:r>
      <w:r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5C07376" w:rsidR="006E6E61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</w:t>
      </w:r>
      <w:r w:rsidR="00B27209" w:rsidRPr="00275474">
        <w:rPr>
          <w:rFonts w:eastAsia="Times New Roman" w:cs="Times New Roman"/>
          <w:highlight w:val="yellow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29CCAD05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3071CFB7" w14:textId="77777777" w:rsidR="00A249CE" w:rsidRDefault="00A249CE" w:rsidP="00A249C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93A6B29" w14:textId="77777777" w:rsidR="00A249CE" w:rsidRDefault="00A249CE" w:rsidP="00A249CE">
      <w:pPr>
        <w:spacing w:after="0" w:line="276" w:lineRule="auto"/>
        <w:rPr>
          <w:rFonts w:asciiTheme="majorHAnsi" w:hAnsiTheme="majorHAnsi"/>
        </w:rPr>
      </w:pPr>
    </w:p>
    <w:p w14:paraId="712DC8E7" w14:textId="77777777" w:rsidR="00A249CE" w:rsidRDefault="00A249CE" w:rsidP="00A249CE">
      <w:pPr>
        <w:spacing w:after="0" w:line="276" w:lineRule="auto"/>
        <w:rPr>
          <w:rFonts w:asciiTheme="majorHAnsi" w:hAnsiTheme="majorHAnsi"/>
        </w:rPr>
      </w:pPr>
    </w:p>
    <w:p w14:paraId="6A5873E0" w14:textId="77777777" w:rsidR="00A249CE" w:rsidRDefault="00A249CE" w:rsidP="00A249C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5E6257E7" w14:textId="14B8E3F0" w:rsidR="00A249CE" w:rsidRDefault="00A249CE" w:rsidP="00A249CE">
      <w:pPr>
        <w:spacing w:after="0" w:line="276" w:lineRule="auto"/>
        <w:rPr>
          <w:rFonts w:asciiTheme="majorHAnsi" w:hAnsiTheme="majorHAnsi"/>
          <w:noProof/>
        </w:rPr>
      </w:pPr>
      <w:r w:rsidRPr="00A249CE">
        <w:rPr>
          <w:b/>
          <w:noProof/>
        </w:rPr>
        <w:t>Ing. Aleš Krejčí</w:t>
      </w:r>
      <w:r w:rsidRPr="00A249CE">
        <w:rPr>
          <w:rFonts w:asciiTheme="majorHAnsi" w:hAnsiTheme="majorHAnsi"/>
        </w:rPr>
        <w:t xml:space="preserve"> </w:t>
      </w:r>
      <w:r w:rsidRPr="00A249CE">
        <w:rPr>
          <w:rFonts w:asciiTheme="majorHAnsi" w:hAnsiTheme="majorHAnsi"/>
        </w:rPr>
        <w:tab/>
        <w:t xml:space="preserve">  </w:t>
      </w:r>
      <w:r w:rsidRPr="00A249CE">
        <w:rPr>
          <w:rFonts w:asciiTheme="majorHAnsi" w:hAnsiTheme="majorHAnsi"/>
        </w:rPr>
        <w:tab/>
      </w:r>
      <w:r w:rsidRPr="00A249CE">
        <w:rPr>
          <w:rFonts w:asciiTheme="majorHAnsi" w:hAnsiTheme="majorHAnsi"/>
        </w:rPr>
        <w:tab/>
      </w:r>
      <w:r w:rsidRPr="00A249CE">
        <w:rPr>
          <w:rFonts w:asciiTheme="majorHAnsi" w:hAnsiTheme="majorHAnsi"/>
        </w:rPr>
        <w:tab/>
      </w:r>
      <w:r w:rsidRPr="00613238">
        <w:rPr>
          <w:rFonts w:asciiTheme="majorHAnsi" w:hAnsiTheme="majorHAnsi"/>
          <w:highlight w:val="yellow"/>
        </w:rPr>
        <w:tab/>
      </w:r>
      <w:r w:rsidRPr="00613238">
        <w:rPr>
          <w:rFonts w:asciiTheme="majorHAnsi" w:hAnsiTheme="majorHAnsi"/>
          <w:noProof/>
          <w:highlight w:val="yellow"/>
        </w:rPr>
        <w:t>[</w:t>
      </w:r>
      <w:r w:rsidRPr="00613238">
        <w:rPr>
          <w:rFonts w:asciiTheme="majorHAnsi" w:hAnsiTheme="majorHAnsi"/>
          <w:i/>
          <w:iCs/>
          <w:noProof/>
          <w:highlight w:val="yellow"/>
        </w:rPr>
        <w:t>DOPLNÍ ZHOTOVITEL</w:t>
      </w:r>
      <w:r w:rsidRPr="00613238">
        <w:rPr>
          <w:rFonts w:asciiTheme="majorHAnsi" w:hAnsiTheme="majorHAnsi"/>
          <w:noProof/>
          <w:highlight w:val="yellow"/>
        </w:rPr>
        <w:t>]</w:t>
      </w:r>
    </w:p>
    <w:p w14:paraId="140D2CC1" w14:textId="68458495" w:rsidR="00A249CE" w:rsidRDefault="00A249CE" w:rsidP="00A249CE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náměstek GŘ pro ekonomiku</w:t>
      </w:r>
    </w:p>
    <w:p w14:paraId="2C16537D" w14:textId="77777777" w:rsidR="00A249CE" w:rsidRDefault="00A249CE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31CB85D" w14:textId="77777777" w:rsidR="004429CF" w:rsidRDefault="004429CF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1808E47" w14:textId="326D17D5" w:rsid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1E38022D" w14:textId="286ED9AF" w:rsidR="00A157FE" w:rsidRPr="00A157FE" w:rsidRDefault="00A157F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sz w:val="16"/>
          <w:szCs w:val="16"/>
        </w:rPr>
      </w:pPr>
    </w:p>
    <w:sectPr w:rsidR="00A157FE" w:rsidRPr="00A157FE" w:rsidSect="000645D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87FF6" w14:textId="77777777" w:rsidR="001F7BEB" w:rsidRDefault="001F7BEB" w:rsidP="00962258">
      <w:pPr>
        <w:spacing w:after="0" w:line="240" w:lineRule="auto"/>
      </w:pPr>
      <w:r>
        <w:separator/>
      </w:r>
    </w:p>
  </w:endnote>
  <w:endnote w:type="continuationSeparator" w:id="0">
    <w:p w14:paraId="54F3C23B" w14:textId="77777777" w:rsidR="001F7BEB" w:rsidRDefault="001F7B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E3FD58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3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33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FCE9F2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636D7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3CA7252B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73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7334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E1D8A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9D5B6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0DDD2" w14:textId="77777777" w:rsidR="001F7BEB" w:rsidRDefault="001F7BEB" w:rsidP="00962258">
      <w:pPr>
        <w:spacing w:after="0" w:line="240" w:lineRule="auto"/>
      </w:pPr>
      <w:r>
        <w:separator/>
      </w:r>
    </w:p>
  </w:footnote>
  <w:footnote w:type="continuationSeparator" w:id="0">
    <w:p w14:paraId="0A69710A" w14:textId="77777777" w:rsidR="001F7BEB" w:rsidRDefault="001F7B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1824" behindDoc="0" locked="1" layoutInCell="1" allowOverlap="1" wp14:anchorId="1DF84C8B" wp14:editId="5C748C15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121950"/>
    <w:multiLevelType w:val="hybridMultilevel"/>
    <w:tmpl w:val="79C4B4E0"/>
    <w:lvl w:ilvl="0" w:tplc="E718473C">
      <w:start w:val="1"/>
      <w:numFmt w:val="bullet"/>
      <w:lvlText w:val="•"/>
      <w:lvlJc w:val="left"/>
      <w:pPr>
        <w:ind w:left="1776" w:hanging="360"/>
      </w:pPr>
      <w:rPr>
        <w:rFonts w:ascii="Verdana" w:eastAsia="Verdana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9AA3EB5"/>
    <w:multiLevelType w:val="hybridMultilevel"/>
    <w:tmpl w:val="3028F3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7C068D"/>
    <w:multiLevelType w:val="hybridMultilevel"/>
    <w:tmpl w:val="44921F6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E361D2"/>
    <w:multiLevelType w:val="hybridMultilevel"/>
    <w:tmpl w:val="06F2C6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E482A11"/>
    <w:multiLevelType w:val="hybridMultilevel"/>
    <w:tmpl w:val="04081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F254A72"/>
    <w:multiLevelType w:val="multilevel"/>
    <w:tmpl w:val="0EF6670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95611"/>
    <w:multiLevelType w:val="hybridMultilevel"/>
    <w:tmpl w:val="1F2408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68F596F"/>
    <w:multiLevelType w:val="hybridMultilevel"/>
    <w:tmpl w:val="9788E20E"/>
    <w:lvl w:ilvl="0" w:tplc="2E7829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AFF7E7D"/>
    <w:multiLevelType w:val="hybridMultilevel"/>
    <w:tmpl w:val="920C3C88"/>
    <w:lvl w:ilvl="0" w:tplc="0405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4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4070991"/>
    <w:multiLevelType w:val="multilevel"/>
    <w:tmpl w:val="CABE99FC"/>
    <w:numStyleLink w:val="ListNumbermultilevel"/>
  </w:abstractNum>
  <w:abstractNum w:abstractNumId="27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6"/>
  </w:num>
  <w:num w:numId="5">
    <w:abstractNumId w:val="13"/>
  </w:num>
  <w:num w:numId="6">
    <w:abstractNumId w:val="0"/>
  </w:num>
  <w:num w:numId="7">
    <w:abstractNumId w:val="16"/>
  </w:num>
  <w:num w:numId="8">
    <w:abstractNumId w:val="27"/>
  </w:num>
  <w:num w:numId="9">
    <w:abstractNumId w:val="17"/>
  </w:num>
  <w:num w:numId="10">
    <w:abstractNumId w:val="11"/>
  </w:num>
  <w:num w:numId="11">
    <w:abstractNumId w:val="3"/>
  </w:num>
  <w:num w:numId="12">
    <w:abstractNumId w:val="22"/>
  </w:num>
  <w:num w:numId="13">
    <w:abstractNumId w:val="25"/>
  </w:num>
  <w:num w:numId="14">
    <w:abstractNumId w:val="6"/>
  </w:num>
  <w:num w:numId="15">
    <w:abstractNumId w:val="28"/>
  </w:num>
  <w:num w:numId="16">
    <w:abstractNumId w:val="18"/>
  </w:num>
  <w:num w:numId="17">
    <w:abstractNumId w:val="12"/>
  </w:num>
  <w:num w:numId="18">
    <w:abstractNumId w:val="15"/>
  </w:num>
  <w:num w:numId="19">
    <w:abstractNumId w:val="20"/>
  </w:num>
  <w:num w:numId="20">
    <w:abstractNumId w:val="19"/>
  </w:num>
  <w:num w:numId="21">
    <w:abstractNumId w:val="12"/>
  </w:num>
  <w:num w:numId="22">
    <w:abstractNumId w:val="24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21"/>
  </w:num>
  <w:num w:numId="28">
    <w:abstractNumId w:val="1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3"/>
  </w:num>
  <w:num w:numId="35">
    <w:abstractNumId w:val="12"/>
  </w:num>
  <w:num w:numId="36">
    <w:abstractNumId w:val="4"/>
  </w:num>
  <w:num w:numId="37">
    <w:abstractNumId w:val="10"/>
  </w:num>
  <w:num w:numId="38">
    <w:abstractNumId w:val="7"/>
  </w:num>
  <w:num w:numId="39">
    <w:abstractNumId w:val="8"/>
  </w:num>
  <w:num w:numId="40">
    <w:abstractNumId w:val="14"/>
  </w:num>
  <w:num w:numId="41">
    <w:abstractNumId w:val="12"/>
  </w:num>
  <w:num w:numId="42">
    <w:abstractNumId w:val="12"/>
  </w:num>
  <w:num w:numId="43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54D81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693F"/>
    <w:rsid w:val="00107E5E"/>
    <w:rsid w:val="00114472"/>
    <w:rsid w:val="00132571"/>
    <w:rsid w:val="0013379C"/>
    <w:rsid w:val="0015237E"/>
    <w:rsid w:val="001550BC"/>
    <w:rsid w:val="001605B9"/>
    <w:rsid w:val="00170EC5"/>
    <w:rsid w:val="00172F07"/>
    <w:rsid w:val="001747C1"/>
    <w:rsid w:val="00184743"/>
    <w:rsid w:val="001872C0"/>
    <w:rsid w:val="00193A76"/>
    <w:rsid w:val="001A0041"/>
    <w:rsid w:val="001A1DF4"/>
    <w:rsid w:val="001A6752"/>
    <w:rsid w:val="001B6687"/>
    <w:rsid w:val="001C0FC2"/>
    <w:rsid w:val="001C298C"/>
    <w:rsid w:val="001C29AD"/>
    <w:rsid w:val="001D3AFC"/>
    <w:rsid w:val="001D68A6"/>
    <w:rsid w:val="001F7BEB"/>
    <w:rsid w:val="00207DF5"/>
    <w:rsid w:val="002313EA"/>
    <w:rsid w:val="00233C01"/>
    <w:rsid w:val="0025341D"/>
    <w:rsid w:val="00266655"/>
    <w:rsid w:val="002707F3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27AB2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06093"/>
    <w:rsid w:val="0042314E"/>
    <w:rsid w:val="00431925"/>
    <w:rsid w:val="00441430"/>
    <w:rsid w:val="004429CF"/>
    <w:rsid w:val="00450F07"/>
    <w:rsid w:val="00453CD3"/>
    <w:rsid w:val="004541D6"/>
    <w:rsid w:val="00460660"/>
    <w:rsid w:val="00461D32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D6B02"/>
    <w:rsid w:val="004E143C"/>
    <w:rsid w:val="004E1498"/>
    <w:rsid w:val="004E3A53"/>
    <w:rsid w:val="004F4B9B"/>
    <w:rsid w:val="00511AB9"/>
    <w:rsid w:val="00522467"/>
    <w:rsid w:val="00522B06"/>
    <w:rsid w:val="00523EA7"/>
    <w:rsid w:val="00527421"/>
    <w:rsid w:val="00537B7A"/>
    <w:rsid w:val="00537B95"/>
    <w:rsid w:val="00553375"/>
    <w:rsid w:val="005547BD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0614B"/>
    <w:rsid w:val="0061068E"/>
    <w:rsid w:val="006566F7"/>
    <w:rsid w:val="00660AD3"/>
    <w:rsid w:val="00676DC5"/>
    <w:rsid w:val="00677B7F"/>
    <w:rsid w:val="0068683A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3389"/>
    <w:rsid w:val="007E4A6E"/>
    <w:rsid w:val="007F56A7"/>
    <w:rsid w:val="00807DD0"/>
    <w:rsid w:val="00810E9B"/>
    <w:rsid w:val="00816B59"/>
    <w:rsid w:val="00845DC2"/>
    <w:rsid w:val="0084768D"/>
    <w:rsid w:val="0086114C"/>
    <w:rsid w:val="008614BD"/>
    <w:rsid w:val="008659F3"/>
    <w:rsid w:val="00886D4B"/>
    <w:rsid w:val="00895406"/>
    <w:rsid w:val="008968E1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C30C5"/>
    <w:rsid w:val="009D1230"/>
    <w:rsid w:val="009D1706"/>
    <w:rsid w:val="009E07F4"/>
    <w:rsid w:val="009F392E"/>
    <w:rsid w:val="00A021CC"/>
    <w:rsid w:val="00A02EE7"/>
    <w:rsid w:val="00A157FE"/>
    <w:rsid w:val="00A249CE"/>
    <w:rsid w:val="00A605AE"/>
    <w:rsid w:val="00A6177B"/>
    <w:rsid w:val="00A66136"/>
    <w:rsid w:val="00A9039F"/>
    <w:rsid w:val="00AA4CBB"/>
    <w:rsid w:val="00AA65FA"/>
    <w:rsid w:val="00AA7351"/>
    <w:rsid w:val="00AB6759"/>
    <w:rsid w:val="00AD056F"/>
    <w:rsid w:val="00AD6731"/>
    <w:rsid w:val="00AF11FA"/>
    <w:rsid w:val="00B15D0D"/>
    <w:rsid w:val="00B17679"/>
    <w:rsid w:val="00B27209"/>
    <w:rsid w:val="00B33E2A"/>
    <w:rsid w:val="00B3452A"/>
    <w:rsid w:val="00B3599D"/>
    <w:rsid w:val="00B365D2"/>
    <w:rsid w:val="00B4119D"/>
    <w:rsid w:val="00B50C74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4F6A"/>
    <w:rsid w:val="00C47AE3"/>
    <w:rsid w:val="00C510D8"/>
    <w:rsid w:val="00CB53B1"/>
    <w:rsid w:val="00CC6991"/>
    <w:rsid w:val="00CD1FC4"/>
    <w:rsid w:val="00CF636E"/>
    <w:rsid w:val="00D17334"/>
    <w:rsid w:val="00D21061"/>
    <w:rsid w:val="00D4108E"/>
    <w:rsid w:val="00D60200"/>
    <w:rsid w:val="00D6163D"/>
    <w:rsid w:val="00D657AD"/>
    <w:rsid w:val="00D7332F"/>
    <w:rsid w:val="00D751D9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07D25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54337"/>
    <w:rsid w:val="00F60F94"/>
    <w:rsid w:val="00F659EB"/>
    <w:rsid w:val="00F867BB"/>
    <w:rsid w:val="00F86BA6"/>
    <w:rsid w:val="00F969C4"/>
    <w:rsid w:val="00FA32F8"/>
    <w:rsid w:val="00FC062A"/>
    <w:rsid w:val="00FC533E"/>
    <w:rsid w:val="00FC6389"/>
    <w:rsid w:val="00FD17C6"/>
    <w:rsid w:val="00FD3A30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FA2DCCF3-DE9B-4AA4-8B22-F5392FF45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FDFED3-8A20-4DB1-B2A1-E76A21BED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1992</Words>
  <Characters>11755</Characters>
  <Application>Microsoft Office Word</Application>
  <DocSecurity>4</DocSecurity>
  <Lines>97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</cp:revision>
  <cp:lastPrinted>2017-11-28T17:18:00Z</cp:lastPrinted>
  <dcterms:created xsi:type="dcterms:W3CDTF">2020-04-27T06:40:00Z</dcterms:created>
  <dcterms:modified xsi:type="dcterms:W3CDTF">2020-04-27T06:40:00Z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