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  <w:bookmarkStart w:id="0" w:name="_GoBack"/>
      <w:bookmarkEnd w:id="0"/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65340AC62DF4E90A89210A2810DCF25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BD2E42" w:rsidP="00CF0EF4">
          <w:pPr>
            <w:pStyle w:val="Tituldatum"/>
          </w:pPr>
          <w:r w:rsidRPr="00A367E2">
            <w:rPr>
              <w:rStyle w:val="Nzevakce"/>
            </w:rPr>
            <w:t>„Modernizace železničního uzlu Pardubice</w:t>
          </w:r>
          <w:r>
            <w:rPr>
              <w:rStyle w:val="Nzevakce"/>
            </w:rPr>
            <w:t>, demolice</w:t>
          </w:r>
          <w:r w:rsidRPr="00A367E2">
            <w:rPr>
              <w:rStyle w:val="Nzevakce"/>
            </w:rPr>
            <w:t>“</w:t>
          </w:r>
          <w:r w:rsidRPr="00A367E2">
            <w:t xml:space="preserve"> 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D2E42">
        <w:t>27</w:t>
      </w:r>
      <w:r w:rsidR="00A367E2" w:rsidRPr="00A367E2">
        <w:t>. 2.</w:t>
      </w:r>
      <w:r w:rsidRPr="00A367E2">
        <w:t xml:space="preserve"> 20</w:t>
      </w:r>
      <w:r w:rsidR="00A367E2" w:rsidRPr="00A367E2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55EF5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1641497" w:history="1">
        <w:r w:rsidR="00755EF5" w:rsidRPr="00C664D1">
          <w:rPr>
            <w:rStyle w:val="Hypertextovodkaz"/>
          </w:rPr>
          <w:t>SEZNAM ZKRATEK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_Toc31641497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2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4B0D5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498" w:history="1">
        <w:r w:rsidR="00755EF5" w:rsidRPr="00C664D1">
          <w:rPr>
            <w:rStyle w:val="Hypertextovodkaz"/>
          </w:rPr>
          <w:t>1.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POJMY A DEFINICE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_Toc31641498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4B0D5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1641499" w:history="1">
        <w:r w:rsidR="00755EF5" w:rsidRPr="00C664D1">
          <w:rPr>
            <w:rStyle w:val="Hypertextovodkaz"/>
          </w:rPr>
          <w:t>1.2</w:t>
        </w:r>
        <w:r w:rsidR="00755EF5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Soupis prací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_Toc31641499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4B0D5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1641500" w:history="1">
        <w:r w:rsidR="00755EF5" w:rsidRPr="00C664D1">
          <w:rPr>
            <w:rStyle w:val="Hypertextovodkaz"/>
          </w:rPr>
          <w:t>1.3</w:t>
        </w:r>
        <w:r w:rsidR="00755EF5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Cenová soustava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_Toc31641500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4B0D5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1641501" w:history="1">
        <w:r w:rsidR="00755EF5" w:rsidRPr="00C664D1">
          <w:rPr>
            <w:rStyle w:val="Hypertextovodkaz"/>
          </w:rPr>
          <w:t>1.4</w:t>
        </w:r>
        <w:r w:rsidR="00755EF5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Měrné jednotky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_Toc31641501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4B0D5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502" w:history="1">
        <w:r w:rsidR="00755EF5" w:rsidRPr="00C664D1">
          <w:rPr>
            <w:rStyle w:val="Hypertextovodkaz"/>
          </w:rPr>
          <w:t>2.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ZÁKLADNÍ PRAVIDLA PRO OCEŇOVÁNÍ SOUPISU PRACÍ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_Toc31641502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4B0D5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503" w:history="1">
        <w:r w:rsidR="00755EF5" w:rsidRPr="00C664D1">
          <w:rPr>
            <w:rStyle w:val="Hypertextovodkaz"/>
          </w:rPr>
          <w:t>3.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MĚŘENÍ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_Toc31641503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5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4B0D5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504" w:history="1">
        <w:r w:rsidR="00755EF5" w:rsidRPr="00C664D1">
          <w:rPr>
            <w:rStyle w:val="Hypertextovodkaz"/>
          </w:rPr>
          <w:t>4.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SROVNATELNÉ VÝROBKY, ALTERNATIVY MATERIÁLŮ A PROVEDENÍ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_Toc31641504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3E6BD5">
          <w:rPr>
            <w:noProof/>
            <w:webHidden/>
          </w:rPr>
          <w:t>5</w:t>
        </w:r>
        <w:r w:rsidR="00755EF5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31641497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8F6E19" w:rsidRPr="00AD0C7B" w:rsidTr="0082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České dráhy a.s.</w:t>
            </w:r>
          </w:p>
        </w:tc>
      </w:tr>
      <w:tr w:rsidR="008F6E19" w:rsidRPr="00AD0C7B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F6E19" w:rsidRPr="00AD0C7B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8F6E19" w:rsidRPr="00AD0C7B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1641498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31641499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SO</w:t>
      </w:r>
      <w:r w:rsidR="00BD2E42">
        <w:t>.</w:t>
      </w:r>
    </w:p>
    <w:p w:rsidR="005E07BA" w:rsidRDefault="005E07BA" w:rsidP="005E07BA">
      <w:pPr>
        <w:pStyle w:val="Nadpis2-2"/>
      </w:pPr>
      <w:bookmarkStart w:id="8" w:name="_Toc31641500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31641501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31641502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</w:t>
      </w:r>
      <w:r>
        <w:lastRenderedPageBreak/>
        <w:t>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 prací SO a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lastRenderedPageBreak/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SO dle členění na profese vytvoří mezisoučty, jejichž sumarizací vznikne celková cena SO. Celkov</w:t>
      </w:r>
      <w:r w:rsidR="00196E6A">
        <w:t>ou</w:t>
      </w:r>
      <w:r>
        <w:t xml:space="preserve"> cen</w:t>
      </w:r>
      <w:r w:rsidR="00196E6A">
        <w:t>u</w:t>
      </w:r>
      <w:r>
        <w:t xml:space="preserve">  SO dodavatel vyplní do Přílohy č. 1 Rekapitulace ceny dle Dopisu nabídky. Celková cena díla pro Zhotovitele vznikne </w:t>
      </w:r>
      <w:r w:rsidR="00196E6A">
        <w:t xml:space="preserve"> </w:t>
      </w:r>
      <w:proofErr w:type="spellStart"/>
      <w:r w:rsidR="00196E6A">
        <w:t>dle</w:t>
      </w:r>
      <w:r>
        <w:t>ceny</w:t>
      </w:r>
      <w:proofErr w:type="spellEnd"/>
      <w:r>
        <w:t xml:space="preserve"> SO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021160" w:rsidRDefault="005E07BA" w:rsidP="00021160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gramStart"/>
      <w:r>
        <w:t>xls a *.xml</w:t>
      </w:r>
      <w:proofErr w:type="gramEnd"/>
      <w:r>
        <w:t xml:space="preserve"> (struktura dat dle datového předpisu </w:t>
      </w:r>
      <w:r w:rsidR="00021160">
        <w:t>XC4)</w:t>
      </w:r>
    </w:p>
    <w:p w:rsidR="005E07BA" w:rsidRDefault="005E07BA" w:rsidP="003E6BD5">
      <w:pPr>
        <w:pStyle w:val="Text2-1"/>
        <w:numPr>
          <w:ilvl w:val="0"/>
          <w:numId w:val="0"/>
        </w:numPr>
      </w:pPr>
    </w:p>
    <w:p w:rsidR="005E07BA" w:rsidRDefault="005E07BA" w:rsidP="005E07BA">
      <w:pPr>
        <w:pStyle w:val="Nadpis2-1"/>
      </w:pPr>
      <w:bookmarkStart w:id="11" w:name="_Toc31641503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31641504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bookmarkEnd w:id="3"/>
    <w:bookmarkEnd w:id="4"/>
    <w:bookmarkEnd w:id="5"/>
    <w:bookmarkEnd w:id="6"/>
    <w:p w:rsidR="00021160" w:rsidRDefault="00021160" w:rsidP="00021160">
      <w:pPr>
        <w:pStyle w:val="Text2-1"/>
        <w:numPr>
          <w:ilvl w:val="0"/>
          <w:numId w:val="0"/>
        </w:numPr>
        <w:ind w:left="737"/>
      </w:pPr>
    </w:p>
    <w:sectPr w:rsidR="00021160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DBB" w:rsidRDefault="00527DBB" w:rsidP="00962258">
      <w:pPr>
        <w:spacing w:after="0" w:line="240" w:lineRule="auto"/>
      </w:pPr>
      <w:r>
        <w:separator/>
      </w:r>
    </w:p>
  </w:endnote>
  <w:endnote w:type="continuationSeparator" w:id="0">
    <w:p w:rsidR="00527DBB" w:rsidRDefault="00527D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D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D5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630D15" w:rsidRDefault="00527DBB" w:rsidP="00C87634">
          <w:pPr>
            <w:pStyle w:val="Zpatvlevo"/>
          </w:pPr>
          <w:fldSimple w:instr=" STYLEREF  _Název_akce  \* MERGEFORMAT ">
            <w:r w:rsidR="004B0D50" w:rsidRPr="004B0D50">
              <w:rPr>
                <w:b/>
                <w:bCs/>
                <w:noProof/>
              </w:rPr>
              <w:t xml:space="preserve">„Modernizace </w:t>
            </w:r>
            <w:r w:rsidR="004B0D50" w:rsidRPr="004B0D50">
              <w:rPr>
                <w:b/>
                <w:noProof/>
              </w:rPr>
              <w:t>železničního uzlu Pardubice,</w:t>
            </w:r>
            <w:r w:rsidR="004B0D50">
              <w:rPr>
                <w:noProof/>
              </w:rPr>
              <w:t xml:space="preserve"> demolice“</w:t>
            </w:r>
          </w:fldSimple>
        </w:p>
        <w:p w:rsidR="00CF0EF4" w:rsidRDefault="00CF0EF4" w:rsidP="00C87634">
          <w:pPr>
            <w:pStyle w:val="Zpatvlevo"/>
          </w:pPr>
          <w:r w:rsidRPr="00630D15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Pr="00630D15" w:rsidRDefault="00376997" w:rsidP="00C87634">
          <w:pPr>
            <w:pStyle w:val="Zpatvpravo"/>
            <w:rPr>
              <w:b/>
            </w:rPr>
          </w:pPr>
          <w:r w:rsidRPr="00630D15">
            <w:rPr>
              <w:b/>
            </w:rPr>
            <w:fldChar w:fldCharType="begin"/>
          </w:r>
          <w:r w:rsidRPr="00630D15">
            <w:rPr>
              <w:b/>
            </w:rPr>
            <w:instrText xml:space="preserve"> STYLEREF  _Název_akce  \* MERGEFORMAT </w:instrText>
          </w:r>
          <w:r w:rsidRPr="00630D15">
            <w:rPr>
              <w:b/>
            </w:rPr>
            <w:fldChar w:fldCharType="separate"/>
          </w:r>
          <w:r w:rsidR="004B0D50" w:rsidRPr="004B0D50">
            <w:rPr>
              <w:b/>
              <w:bCs/>
              <w:noProof/>
            </w:rPr>
            <w:t xml:space="preserve">„Modernizace </w:t>
          </w:r>
          <w:r w:rsidR="004B0D50">
            <w:rPr>
              <w:b/>
              <w:noProof/>
            </w:rPr>
            <w:t>železničního uzlu Pardubice, demolice“</w:t>
          </w:r>
          <w:r w:rsidRPr="00630D15">
            <w:rPr>
              <w:b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D5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D5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Default="004B0D50" w:rsidP="00CF0EF4">
    <w:pPr>
      <w:pStyle w:val="Zpat"/>
      <w:rPr>
        <w:rFonts w:cs="Calibri"/>
        <w:szCs w:val="1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44312494" r:id="rId2"/>
      </w:pict>
    </w:r>
  </w:p>
  <w:p w:rsidR="00CF0EF4" w:rsidRDefault="00CF0EF4" w:rsidP="00CF0EF4">
    <w:pPr>
      <w:pStyle w:val="Zpat"/>
      <w:rPr>
        <w:rFonts w:cs="Calibri"/>
        <w:szCs w:val="12"/>
      </w:rPr>
    </w:pPr>
  </w:p>
  <w:p w:rsidR="00CF0EF4" w:rsidRPr="005D19D8" w:rsidRDefault="00CF0EF4" w:rsidP="00CF0EF4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DBB" w:rsidRDefault="00527DBB" w:rsidP="00962258">
      <w:pPr>
        <w:spacing w:after="0" w:line="240" w:lineRule="auto"/>
      </w:pPr>
      <w:r>
        <w:separator/>
      </w:r>
    </w:p>
  </w:footnote>
  <w:footnote w:type="continuationSeparator" w:id="0">
    <w:p w:rsidR="00527DBB" w:rsidRDefault="00527D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8F6E1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5648" behindDoc="0" locked="1" layoutInCell="1" allowOverlap="1" wp14:anchorId="43B64CC4" wp14:editId="43ABD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E2"/>
    <w:rsid w:val="000008ED"/>
    <w:rsid w:val="00017F3C"/>
    <w:rsid w:val="00021160"/>
    <w:rsid w:val="000373D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96E6A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76997"/>
    <w:rsid w:val="00386FF1"/>
    <w:rsid w:val="00392EB6"/>
    <w:rsid w:val="003956C6"/>
    <w:rsid w:val="003C33F2"/>
    <w:rsid w:val="003D756E"/>
    <w:rsid w:val="003E420D"/>
    <w:rsid w:val="003E4C13"/>
    <w:rsid w:val="003E6BD5"/>
    <w:rsid w:val="003F0198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50"/>
    <w:rsid w:val="004B0DFE"/>
    <w:rsid w:val="004C4399"/>
    <w:rsid w:val="004C7451"/>
    <w:rsid w:val="004C787C"/>
    <w:rsid w:val="004D583E"/>
    <w:rsid w:val="004E7A1F"/>
    <w:rsid w:val="004F4B9B"/>
    <w:rsid w:val="0050666E"/>
    <w:rsid w:val="00511AB9"/>
    <w:rsid w:val="00521419"/>
    <w:rsid w:val="005216D2"/>
    <w:rsid w:val="00523BB5"/>
    <w:rsid w:val="00523EA7"/>
    <w:rsid w:val="00527DBB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30D15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55EF5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0F93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62CC"/>
    <w:rsid w:val="00860B0F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6E19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4499"/>
    <w:rsid w:val="00A308AF"/>
    <w:rsid w:val="00A367E2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4317"/>
    <w:rsid w:val="00AD5F1A"/>
    <w:rsid w:val="00AD6731"/>
    <w:rsid w:val="00B008D5"/>
    <w:rsid w:val="00B02F73"/>
    <w:rsid w:val="00B0619F"/>
    <w:rsid w:val="00B101FD"/>
    <w:rsid w:val="00B13A26"/>
    <w:rsid w:val="00B15D0D"/>
    <w:rsid w:val="00B16EEA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2E42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2BDD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56F06"/>
    <w:rsid w:val="00F659EB"/>
    <w:rsid w:val="00F86BA6"/>
    <w:rsid w:val="00F8788B"/>
    <w:rsid w:val="00FB170A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B170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B170A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FB170A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B170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B170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B170A"/>
    <w:pPr>
      <w:numPr>
        <w:ilvl w:val="2"/>
        <w:numId w:val="4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FB170A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B170A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FB170A"/>
    <w:rPr>
      <w:rFonts w:ascii="Verdana" w:hAnsi="Verdana"/>
    </w:rPr>
  </w:style>
  <w:style w:type="paragraph" w:customStyle="1" w:styleId="Titul2">
    <w:name w:val="_Titul_2"/>
    <w:basedOn w:val="Normln"/>
    <w:qFormat/>
    <w:rsid w:val="00FB170A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B170A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B170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B170A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B170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B170A"/>
    <w:pPr>
      <w:numPr>
        <w:ilvl w:val="1"/>
        <w:numId w:val="42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B170A"/>
    <w:pPr>
      <w:keepNext/>
      <w:numPr>
        <w:numId w:val="4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B170A"/>
    <w:pPr>
      <w:numPr>
        <w:numId w:val="35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FB170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B170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B170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FB170A"/>
    <w:rPr>
      <w:rFonts w:ascii="Verdana" w:hAnsi="Verdana"/>
    </w:rPr>
  </w:style>
  <w:style w:type="paragraph" w:customStyle="1" w:styleId="Odrka1-2-">
    <w:name w:val="_Odrážka_1-2_-"/>
    <w:basedOn w:val="Odrka1-1"/>
    <w:qFormat/>
    <w:rsid w:val="00FB170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B170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B170A"/>
    <w:pPr>
      <w:numPr>
        <w:numId w:val="39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FB170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B170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B170A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FB170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B170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B170A"/>
    <w:rPr>
      <w:rFonts w:ascii="Verdana" w:hAnsi="Verdana"/>
    </w:rPr>
  </w:style>
  <w:style w:type="paragraph" w:customStyle="1" w:styleId="Zkratky1">
    <w:name w:val="_Zkratky_1"/>
    <w:basedOn w:val="Normln"/>
    <w:qFormat/>
    <w:rsid w:val="00FB170A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FB170A"/>
    <w:pPr>
      <w:numPr>
        <w:numId w:val="40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FB170A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FB170A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B170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B170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FB170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FB170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FB170A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FB170A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B170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B170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B170A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FB170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FB170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FB170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B170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FB170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B170A"/>
    <w:rPr>
      <w:rFonts w:ascii="Verdana" w:hAnsi="Verdana"/>
    </w:rPr>
  </w:style>
  <w:style w:type="paragraph" w:customStyle="1" w:styleId="Zpatvpravo">
    <w:name w:val="_Zápatí_vpravo"/>
    <w:basedOn w:val="Zpat"/>
    <w:qFormat/>
    <w:rsid w:val="00FB170A"/>
    <w:pPr>
      <w:jc w:val="right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FB170A"/>
    <w:pPr>
      <w:jc w:val="left"/>
    </w:pPr>
  </w:style>
  <w:style w:type="character" w:customStyle="1" w:styleId="Znaka">
    <w:name w:val="_Značka"/>
    <w:basedOn w:val="Standardnpsmoodstavce"/>
    <w:rsid w:val="00FB170A"/>
    <w:rPr>
      <w:rFonts w:ascii="Verdana" w:hAnsi="Verdana"/>
      <w:b/>
      <w:sz w:val="36"/>
    </w:rPr>
  </w:style>
  <w:style w:type="character" w:customStyle="1" w:styleId="TPSeznamzkratekChar">
    <w:name w:val="TP_Seznam_zkratek Char"/>
    <w:link w:val="TPSeznamzkratek"/>
    <w:locked/>
    <w:rsid w:val="008F6E19"/>
    <w:rPr>
      <w:rFonts w:cs="Arial"/>
      <w:sz w:val="22"/>
      <w:szCs w:val="22"/>
    </w:rPr>
  </w:style>
  <w:style w:type="paragraph" w:customStyle="1" w:styleId="TPSeznamzkratek">
    <w:name w:val="TP_Seznam_zkratek"/>
    <w:basedOn w:val="Normln"/>
    <w:link w:val="TPSeznamzkratekChar"/>
    <w:qFormat/>
    <w:rsid w:val="008F6E19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8F6E19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FB170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B170A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B170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B170A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FB170A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B170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B170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B170A"/>
    <w:pPr>
      <w:numPr>
        <w:ilvl w:val="2"/>
        <w:numId w:val="4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FB170A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B170A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FB170A"/>
    <w:rPr>
      <w:rFonts w:ascii="Verdana" w:hAnsi="Verdana"/>
    </w:rPr>
  </w:style>
  <w:style w:type="paragraph" w:customStyle="1" w:styleId="Titul2">
    <w:name w:val="_Titul_2"/>
    <w:basedOn w:val="Normln"/>
    <w:qFormat/>
    <w:rsid w:val="00FB170A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B170A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B170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B170A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B170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B170A"/>
    <w:pPr>
      <w:numPr>
        <w:ilvl w:val="1"/>
        <w:numId w:val="42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B170A"/>
    <w:pPr>
      <w:keepNext/>
      <w:numPr>
        <w:numId w:val="4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B170A"/>
    <w:pPr>
      <w:numPr>
        <w:numId w:val="35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FB170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B170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B170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FB170A"/>
    <w:rPr>
      <w:rFonts w:ascii="Verdana" w:hAnsi="Verdana"/>
    </w:rPr>
  </w:style>
  <w:style w:type="paragraph" w:customStyle="1" w:styleId="Odrka1-2-">
    <w:name w:val="_Odrážka_1-2_-"/>
    <w:basedOn w:val="Odrka1-1"/>
    <w:qFormat/>
    <w:rsid w:val="00FB170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B170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B170A"/>
    <w:pPr>
      <w:numPr>
        <w:numId w:val="39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FB170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B170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B170A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FB170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B170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B170A"/>
    <w:rPr>
      <w:rFonts w:ascii="Verdana" w:hAnsi="Verdana"/>
    </w:rPr>
  </w:style>
  <w:style w:type="paragraph" w:customStyle="1" w:styleId="Zkratky1">
    <w:name w:val="_Zkratky_1"/>
    <w:basedOn w:val="Normln"/>
    <w:qFormat/>
    <w:rsid w:val="00FB170A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FB170A"/>
    <w:pPr>
      <w:numPr>
        <w:numId w:val="40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FB170A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FB170A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B170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B170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FB170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FB170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FB170A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FB170A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B170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B170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B170A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FB170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FB170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FB170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B170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FB170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B170A"/>
    <w:rPr>
      <w:rFonts w:ascii="Verdana" w:hAnsi="Verdana"/>
    </w:rPr>
  </w:style>
  <w:style w:type="paragraph" w:customStyle="1" w:styleId="Zpatvpravo">
    <w:name w:val="_Zápatí_vpravo"/>
    <w:basedOn w:val="Zpat"/>
    <w:qFormat/>
    <w:rsid w:val="00FB170A"/>
    <w:pPr>
      <w:jc w:val="right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FB170A"/>
    <w:pPr>
      <w:jc w:val="left"/>
    </w:pPr>
  </w:style>
  <w:style w:type="character" w:customStyle="1" w:styleId="Znaka">
    <w:name w:val="_Značka"/>
    <w:basedOn w:val="Standardnpsmoodstavce"/>
    <w:rsid w:val="00FB170A"/>
    <w:rPr>
      <w:rFonts w:ascii="Verdana" w:hAnsi="Verdana"/>
      <w:b/>
      <w:sz w:val="36"/>
    </w:rPr>
  </w:style>
  <w:style w:type="character" w:customStyle="1" w:styleId="TPSeznamzkratekChar">
    <w:name w:val="TP_Seznam_zkratek Char"/>
    <w:link w:val="TPSeznamzkratek"/>
    <w:locked/>
    <w:rsid w:val="008F6E19"/>
    <w:rPr>
      <w:rFonts w:cs="Arial"/>
      <w:sz w:val="22"/>
      <w:szCs w:val="22"/>
    </w:rPr>
  </w:style>
  <w:style w:type="paragraph" w:customStyle="1" w:styleId="TPSeznamzkratek">
    <w:name w:val="TP_Seznam_zkratek"/>
    <w:basedOn w:val="Normln"/>
    <w:link w:val="TPSeznamzkratekChar"/>
    <w:qFormat/>
    <w:rsid w:val="008F6E19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8F6E19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FB170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B170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R%20-%20Zhotoven&#237;%20stavby\R_Zhotoven&#237;_stavby_FIDIC_(nadlimitn&#237;)\KSP_R-F_VZOR-OSNOVA_19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5340AC62DF4E90A89210A2810DC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EE8E9-A785-4D6C-AFD0-472011485A4A}"/>
      </w:docPartPr>
      <w:docPartBody>
        <w:p w:rsidR="008B0FB4" w:rsidRDefault="007C4A9F">
          <w:pPr>
            <w:pStyle w:val="D65340AC62DF4E90A89210A2810DCF2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9F"/>
    <w:rsid w:val="00230CAD"/>
    <w:rsid w:val="002342D2"/>
    <w:rsid w:val="00265AF2"/>
    <w:rsid w:val="003403F3"/>
    <w:rsid w:val="003B7B5E"/>
    <w:rsid w:val="006B28A4"/>
    <w:rsid w:val="007C4A9F"/>
    <w:rsid w:val="008828EF"/>
    <w:rsid w:val="008B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5340AC62DF4E90A89210A2810DCF25">
    <w:name w:val="D65340AC62DF4E90A89210A2810DCF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5340AC62DF4E90A89210A2810DCF25">
    <w:name w:val="D65340AC62DF4E90A89210A2810DCF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9E7DA1F-2B6D-476F-8363-F591ED3F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KSP_R-F_VZOR-OSNOVA_191106</Template>
  <TotalTime>1</TotalTime>
  <Pages>5</Pages>
  <Words>1482</Words>
  <Characters>8748</Characters>
  <Application>Microsoft Office Word</Application>
  <DocSecurity>4</DocSecurity>
  <Lines>72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Rečková Radomíra, Ing.</cp:lastModifiedBy>
  <cp:revision>2</cp:revision>
  <cp:lastPrinted>2019-03-13T10:28:00Z</cp:lastPrinted>
  <dcterms:created xsi:type="dcterms:W3CDTF">2020-02-27T11:42:00Z</dcterms:created>
  <dcterms:modified xsi:type="dcterms:W3CDTF">2020-02-27T11:42:00Z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