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579CA">
        <w:rPr>
          <w:rFonts w:ascii="Verdana" w:hAnsi="Verdana"/>
          <w:sz w:val="18"/>
          <w:szCs w:val="18"/>
        </w:rPr>
        <w:t>„Oprava ÚO v </w:t>
      </w:r>
      <w:proofErr w:type="spellStart"/>
      <w:r w:rsidR="005579CA">
        <w:rPr>
          <w:rFonts w:ascii="Verdana" w:hAnsi="Verdana"/>
          <w:sz w:val="18"/>
          <w:szCs w:val="18"/>
        </w:rPr>
        <w:t>žst</w:t>
      </w:r>
      <w:proofErr w:type="spellEnd"/>
      <w:r w:rsidR="005579CA">
        <w:rPr>
          <w:rFonts w:ascii="Verdana" w:hAnsi="Verdana"/>
          <w:sz w:val="18"/>
          <w:szCs w:val="18"/>
        </w:rPr>
        <w:t>. Kařízek, Holoubkov a Rokycany“, RVZ: 65420129</w:t>
      </w:r>
      <w:r w:rsidR="005579CA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579C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579CA" w:rsidRPr="005579C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579CA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9AE22-833C-4A82-994C-E49EB629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2020-04-03T08:36:00Z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