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675FD" w:rsidRPr="005675FD">
        <w:rPr>
          <w:rFonts w:ascii="Verdana" w:hAnsi="Verdana"/>
          <w:sz w:val="18"/>
          <w:szCs w:val="18"/>
          <w:lang w:val="en-US"/>
        </w:rPr>
        <w:t>Praha Vršovice st. č. 6 – oprava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20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205C" w:rsidRPr="001E20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E205C">
            <w:rPr>
              <w:rFonts w:ascii="Verdana" w:eastAsia="Calibri" w:hAnsi="Verdana" w:cstheme="minorHAnsi"/>
              <w:sz w:val="18"/>
              <w:szCs w:val="18"/>
            </w:rPr>
            <w:t>12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36A9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205C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5FD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4AB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62F7DF0"/>
  <w15:docId w15:val="{6F270C94-D655-40DC-9C82-0545002B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798B71-398D-44D7-93D1-130462635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2018-11-26T13:17:00Z</dcterms:created>
  <dcterms:modified xsi:type="dcterms:W3CDTF">2020-04-01T11:07:00Z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