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612AD6" w:rsidRPr="00612AD6">
        <w:rPr>
          <w:rFonts w:ascii="Verdana" w:hAnsi="Verdana"/>
          <w:b/>
          <w:sz w:val="28"/>
          <w:szCs w:val="28"/>
        </w:rPr>
        <w:t>splnění základní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24A07" w:rsidRPr="00F24A07">
        <w:rPr>
          <w:rFonts w:ascii="Verdana" w:hAnsi="Verdana"/>
          <w:sz w:val="18"/>
          <w:szCs w:val="18"/>
        </w:rPr>
        <w:t>Praha Vršovice st. č. 6 – oprava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E38D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E38D7" w:rsidRPr="006E38D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E38D7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612AD6" w:rsidRPr="00612AD6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57AF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159F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12AD6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38D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4A07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955A2BF"/>
  <w15:docId w15:val="{AA7AD931-EAE9-4630-B4DC-CDB58E1D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188919-B44F-48CB-8EB3-D699575AB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2016-08-01T07:54:00Z</cp:lastPrinted>
  <dcterms:created xsi:type="dcterms:W3CDTF">2018-11-26T13:19:00Z</dcterms:created>
  <dcterms:modified xsi:type="dcterms:W3CDTF">2020-04-01T11:08:00Z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