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0F2FFA">
        <w:rPr>
          <w:rFonts w:ascii="Verdana" w:hAnsi="Verdana"/>
          <w:sz w:val="18"/>
          <w:szCs w:val="18"/>
        </w:rPr>
        <w:t>„</w:t>
      </w:r>
      <w:r w:rsidR="003F6325" w:rsidRPr="000F2FFA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F6325" w:rsidRPr="000F2FFA">
        <w:rPr>
          <w:rFonts w:ascii="Verdana" w:hAnsi="Verdana"/>
          <w:b/>
          <w:sz w:val="18"/>
          <w:szCs w:val="18"/>
        </w:rPr>
        <w:t>žst</w:t>
      </w:r>
      <w:proofErr w:type="spellEnd"/>
      <w:r w:rsidR="003F6325" w:rsidRPr="000F2FFA">
        <w:rPr>
          <w:rFonts w:ascii="Verdana" w:hAnsi="Verdana"/>
          <w:b/>
          <w:sz w:val="18"/>
          <w:szCs w:val="18"/>
        </w:rPr>
        <w:t>. Petrovice u Karviné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2FF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2FFA" w:rsidRPr="000F2FF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2FFA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3F632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27598F-61AA-4433-ADE4-C4E8AF3A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2020-03-23T07:40:00Z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