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24BA0" w:rsidRPr="003D3FA7">
        <w:rPr>
          <w:rFonts w:ascii="Verdana" w:hAnsi="Verdana" w:cs="Arial"/>
          <w:b/>
          <w:sz w:val="18"/>
          <w:szCs w:val="18"/>
        </w:rPr>
        <w:t>Pelhřimov ST – oprava (střecha)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AC6" w:rsidRDefault="00B12AC6">
      <w:r>
        <w:separator/>
      </w:r>
    </w:p>
  </w:endnote>
  <w:endnote w:type="continuationSeparator" w:id="0">
    <w:p w:rsidR="00B12AC6" w:rsidRDefault="00B1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24BA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4BA0" w:rsidRPr="00424BA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AC6" w:rsidRDefault="00B12AC6">
      <w:r>
        <w:separator/>
      </w:r>
    </w:p>
  </w:footnote>
  <w:footnote w:type="continuationSeparator" w:id="0">
    <w:p w:rsidR="00B12AC6" w:rsidRDefault="00B12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B756F"/>
    <w:rsid w:val="00482B79"/>
    <w:rsid w:val="004A5424"/>
    <w:rsid w:val="004D3FFA"/>
    <w:rsid w:val="00573D4E"/>
    <w:rsid w:val="00821905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E72124-8FA1-49B7-8E03-3481E67E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2020-03-13T06:52:00Z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