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BB9" w:rsidRPr="00A84F32" w:rsidRDefault="008A5EA5" w:rsidP="00926BB9">
      <w:pPr>
        <w:pStyle w:val="Nzev"/>
        <w:outlineLvl w:val="0"/>
        <w:rPr>
          <w:rFonts w:ascii="Verdana" w:hAnsi="Verdana"/>
          <w:sz w:val="22"/>
          <w:szCs w:val="28"/>
          <w:u w:val="single"/>
        </w:rPr>
      </w:pPr>
      <w:r w:rsidRPr="00A84F32">
        <w:rPr>
          <w:rFonts w:ascii="Verdana" w:hAnsi="Verdana"/>
          <w:sz w:val="22"/>
          <w:szCs w:val="28"/>
          <w:u w:val="single"/>
        </w:rPr>
        <w:t xml:space="preserve">Zpřesnění </w:t>
      </w:r>
      <w:proofErr w:type="spellStart"/>
      <w:r w:rsidRPr="00A84F32">
        <w:rPr>
          <w:rFonts w:ascii="Verdana" w:hAnsi="Verdana"/>
          <w:sz w:val="22"/>
          <w:szCs w:val="28"/>
          <w:u w:val="single"/>
        </w:rPr>
        <w:t>Sm</w:t>
      </w:r>
      <w:proofErr w:type="spellEnd"/>
      <w:r w:rsidRPr="00A84F32">
        <w:rPr>
          <w:rFonts w:ascii="Verdana" w:hAnsi="Verdana"/>
          <w:sz w:val="22"/>
          <w:szCs w:val="28"/>
          <w:u w:val="single"/>
        </w:rPr>
        <w:t>. V-2/2012 pro účely z</w:t>
      </w:r>
      <w:r w:rsidR="00550C1A" w:rsidRPr="00A84F32">
        <w:rPr>
          <w:rFonts w:ascii="Verdana" w:hAnsi="Verdana"/>
          <w:sz w:val="22"/>
          <w:szCs w:val="28"/>
          <w:u w:val="single"/>
        </w:rPr>
        <w:t>áměr</w:t>
      </w:r>
      <w:r w:rsidRPr="00A84F32">
        <w:rPr>
          <w:rFonts w:ascii="Verdana" w:hAnsi="Verdana"/>
          <w:sz w:val="22"/>
          <w:szCs w:val="28"/>
          <w:u w:val="single"/>
        </w:rPr>
        <w:t>u</w:t>
      </w:r>
      <w:r w:rsidR="00550C1A" w:rsidRPr="00A84F32">
        <w:rPr>
          <w:rFonts w:ascii="Verdana" w:hAnsi="Verdana"/>
          <w:sz w:val="22"/>
          <w:szCs w:val="28"/>
          <w:u w:val="single"/>
        </w:rPr>
        <w:t xml:space="preserve"> projektu</w:t>
      </w:r>
      <w:r w:rsidRPr="00A84F32">
        <w:rPr>
          <w:rFonts w:ascii="Verdana" w:hAnsi="Verdana"/>
          <w:sz w:val="22"/>
          <w:szCs w:val="28"/>
          <w:u w:val="single"/>
        </w:rPr>
        <w:t xml:space="preserve"> na</w:t>
      </w:r>
      <w:r w:rsidR="00550C1A" w:rsidRPr="00A84F32">
        <w:rPr>
          <w:rFonts w:ascii="Verdana" w:hAnsi="Verdana"/>
          <w:sz w:val="22"/>
          <w:szCs w:val="28"/>
          <w:u w:val="single"/>
        </w:rPr>
        <w:t xml:space="preserve"> budovy ON</w:t>
      </w:r>
    </w:p>
    <w:p w:rsidR="00550C1A" w:rsidRPr="00A84F32" w:rsidRDefault="00550C1A" w:rsidP="00550C1A">
      <w:pPr>
        <w:pStyle w:val="Nadpis2"/>
        <w:jc w:val="both"/>
        <w:rPr>
          <w:rFonts w:ascii="Verdana" w:hAnsi="Verdana" w:cs="Times New Roman"/>
          <w:b w:val="0"/>
          <w:color w:val="auto"/>
          <w:sz w:val="20"/>
          <w:szCs w:val="24"/>
        </w:rPr>
      </w:pPr>
      <w:r w:rsidRPr="00A84F32">
        <w:rPr>
          <w:rFonts w:ascii="Verdana" w:hAnsi="Verdana" w:cs="Times New Roman"/>
          <w:b w:val="0"/>
          <w:color w:val="auto"/>
          <w:sz w:val="20"/>
          <w:szCs w:val="24"/>
        </w:rPr>
        <w:t>ZP se rozumí dokumentace, která časově, věcně a funkčně vymezuje požadavky na</w:t>
      </w:r>
      <w:r w:rsidR="00D110A4">
        <w:rPr>
          <w:rFonts w:ascii="Verdana" w:hAnsi="Verdana" w:cs="Times New Roman"/>
          <w:b w:val="0"/>
          <w:color w:val="auto"/>
          <w:sz w:val="20"/>
          <w:szCs w:val="24"/>
        </w:rPr>
        <w:t> </w:t>
      </w:r>
      <w:r w:rsidRPr="00A84F32">
        <w:rPr>
          <w:rFonts w:ascii="Verdana" w:hAnsi="Verdana" w:cs="Times New Roman"/>
          <w:b w:val="0"/>
          <w:color w:val="auto"/>
          <w:sz w:val="20"/>
          <w:szCs w:val="24"/>
        </w:rPr>
        <w:t>přípravu a</w:t>
      </w:r>
      <w:r w:rsidR="002D4F75" w:rsidRPr="00A84F32">
        <w:rPr>
          <w:rFonts w:ascii="Verdana" w:hAnsi="Verdana" w:cs="Times New Roman"/>
          <w:b w:val="0"/>
          <w:color w:val="auto"/>
          <w:sz w:val="20"/>
          <w:szCs w:val="24"/>
        </w:rPr>
        <w:t> </w:t>
      </w:r>
      <w:r w:rsidRPr="00A84F32">
        <w:rPr>
          <w:rFonts w:ascii="Verdana" w:hAnsi="Verdana" w:cs="Times New Roman"/>
          <w:b w:val="0"/>
          <w:color w:val="auto"/>
          <w:sz w:val="20"/>
          <w:szCs w:val="24"/>
        </w:rPr>
        <w:t>realizaci akce v podrobnostech nezbytných pro posouzení a vydání stanoviska MD. Zpracování a schválení ZP je podmínkou pro zahájení financování navazující přípravy a</w:t>
      </w:r>
      <w:r w:rsidR="002D4F75" w:rsidRPr="00A84F32">
        <w:rPr>
          <w:rFonts w:ascii="Verdana" w:hAnsi="Verdana" w:cs="Times New Roman"/>
          <w:b w:val="0"/>
          <w:color w:val="auto"/>
          <w:sz w:val="20"/>
          <w:szCs w:val="24"/>
        </w:rPr>
        <w:t> </w:t>
      </w:r>
      <w:r w:rsidRPr="00A84F32">
        <w:rPr>
          <w:rFonts w:ascii="Verdana" w:hAnsi="Verdana" w:cs="Times New Roman"/>
          <w:b w:val="0"/>
          <w:color w:val="auto"/>
          <w:sz w:val="20"/>
          <w:szCs w:val="24"/>
        </w:rPr>
        <w:t>realizace akce. Povinný obsah (šablona) pro projekty investičních akcí je uvedena v příloze č.</w:t>
      </w:r>
      <w:r w:rsidR="002D4F75" w:rsidRPr="00A84F32">
        <w:rPr>
          <w:rFonts w:ascii="Verdana" w:hAnsi="Verdana" w:cs="Times New Roman"/>
          <w:b w:val="0"/>
          <w:color w:val="auto"/>
          <w:sz w:val="20"/>
          <w:szCs w:val="24"/>
        </w:rPr>
        <w:t> </w:t>
      </w:r>
      <w:r w:rsidRPr="00A84F32">
        <w:rPr>
          <w:rFonts w:ascii="Verdana" w:hAnsi="Verdana" w:cs="Times New Roman"/>
          <w:b w:val="0"/>
          <w:color w:val="auto"/>
          <w:sz w:val="20"/>
          <w:szCs w:val="24"/>
        </w:rPr>
        <w:t>1 směrnice V-2/2012.</w:t>
      </w:r>
    </w:p>
    <w:p w:rsidR="009E697F" w:rsidRPr="00A84F32" w:rsidRDefault="009E697F" w:rsidP="00550C1A">
      <w:pPr>
        <w:spacing w:after="200" w:line="276" w:lineRule="auto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 xml:space="preserve">Záměr projektu bude zpracován </w:t>
      </w:r>
      <w:r w:rsidR="00C86759" w:rsidRPr="00A84F32">
        <w:rPr>
          <w:rFonts w:ascii="Verdana" w:hAnsi="Verdana"/>
          <w:sz w:val="20"/>
        </w:rPr>
        <w:t xml:space="preserve">pro jmenovité investiční akce </w:t>
      </w:r>
      <w:r w:rsidRPr="00A84F32">
        <w:rPr>
          <w:rFonts w:ascii="Verdana" w:hAnsi="Verdana"/>
          <w:sz w:val="20"/>
        </w:rPr>
        <w:t>podle směrnice V</w:t>
      </w:r>
      <w:r w:rsidR="00C86759" w:rsidRPr="00A84F32">
        <w:rPr>
          <w:rFonts w:ascii="Verdana" w:hAnsi="Verdana"/>
          <w:sz w:val="20"/>
        </w:rPr>
        <w:t>- 2</w:t>
      </w:r>
      <w:r w:rsidRPr="00A84F32">
        <w:rPr>
          <w:rFonts w:ascii="Verdana" w:hAnsi="Verdana"/>
          <w:sz w:val="20"/>
        </w:rPr>
        <w:t>/2012</w:t>
      </w:r>
      <w:r w:rsidR="00C86759" w:rsidRPr="00A84F32">
        <w:rPr>
          <w:rFonts w:ascii="Verdana" w:hAnsi="Verdana"/>
          <w:sz w:val="20"/>
        </w:rPr>
        <w:t>. Finanční limity pro zpracování ZP:</w:t>
      </w:r>
    </w:p>
    <w:p w:rsidR="009E697F" w:rsidRPr="00A84F32" w:rsidRDefault="003D4741" w:rsidP="00550C1A">
      <w:pPr>
        <w:pStyle w:val="Odstavecseseznamem"/>
        <w:numPr>
          <w:ilvl w:val="0"/>
          <w:numId w:val="33"/>
        </w:numPr>
        <w:spacing w:after="200" w:line="276" w:lineRule="auto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v</w:t>
      </w:r>
      <w:r w:rsidR="00C86759" w:rsidRPr="00A84F32">
        <w:rPr>
          <w:rFonts w:ascii="Verdana" w:hAnsi="Verdana"/>
          <w:sz w:val="20"/>
        </w:rPr>
        <w:t>ýpravní budovy</w:t>
      </w:r>
      <w:r w:rsidR="009E697F" w:rsidRPr="00A84F32">
        <w:rPr>
          <w:rFonts w:ascii="Verdana" w:hAnsi="Verdana"/>
          <w:sz w:val="20"/>
        </w:rPr>
        <w:t xml:space="preserve"> </w:t>
      </w:r>
      <w:r w:rsidR="00C86759" w:rsidRPr="00A84F32">
        <w:rPr>
          <w:rFonts w:ascii="Verdana" w:hAnsi="Verdana"/>
          <w:sz w:val="20"/>
        </w:rPr>
        <w:t xml:space="preserve">– ZP se zpracovává pro </w:t>
      </w:r>
      <w:proofErr w:type="gramStart"/>
      <w:r w:rsidR="00C86759" w:rsidRPr="00A84F32">
        <w:rPr>
          <w:rFonts w:ascii="Verdana" w:hAnsi="Verdana"/>
          <w:sz w:val="20"/>
        </w:rPr>
        <w:t xml:space="preserve">akce  s </w:t>
      </w:r>
      <w:r w:rsidR="009E697F" w:rsidRPr="00A84F32">
        <w:rPr>
          <w:rFonts w:ascii="Verdana" w:hAnsi="Verdana"/>
          <w:sz w:val="20"/>
        </w:rPr>
        <w:t xml:space="preserve"> CIN</w:t>
      </w:r>
      <w:proofErr w:type="gramEnd"/>
      <w:r w:rsidR="009E697F" w:rsidRPr="00A84F32">
        <w:rPr>
          <w:rFonts w:ascii="Verdana" w:hAnsi="Verdana"/>
          <w:sz w:val="20"/>
        </w:rPr>
        <w:t xml:space="preserve"> ≥ 20 mil. Kč bez DPH</w:t>
      </w:r>
      <w:r w:rsidRPr="00A84F32">
        <w:rPr>
          <w:rFonts w:ascii="Verdana" w:hAnsi="Verdana"/>
          <w:sz w:val="20"/>
        </w:rPr>
        <w:t>;</w:t>
      </w:r>
    </w:p>
    <w:p w:rsidR="009E697F" w:rsidRPr="00A84F32" w:rsidRDefault="009E697F" w:rsidP="00761DF8">
      <w:pPr>
        <w:pStyle w:val="Odstavecseseznamem"/>
        <w:spacing w:after="200" w:line="276" w:lineRule="auto"/>
        <w:jc w:val="both"/>
        <w:rPr>
          <w:rFonts w:ascii="Verdana" w:hAnsi="Verdana"/>
          <w:sz w:val="20"/>
        </w:rPr>
      </w:pPr>
    </w:p>
    <w:p w:rsidR="00761DF8" w:rsidRPr="00A84F32" w:rsidRDefault="00624AE7" w:rsidP="00550C1A">
      <w:pPr>
        <w:spacing w:after="200" w:line="276" w:lineRule="auto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ZP bude vždy obsahovat ekonomické hodnocení podle prováděcích pokynů MD pro</w:t>
      </w:r>
      <w:r w:rsidR="002D4F75" w:rsidRPr="00A84F32">
        <w:rPr>
          <w:rFonts w:ascii="Verdana" w:hAnsi="Verdana"/>
          <w:sz w:val="20"/>
        </w:rPr>
        <w:t> </w:t>
      </w:r>
      <w:r w:rsidRPr="00A84F32">
        <w:rPr>
          <w:rFonts w:ascii="Verdana" w:hAnsi="Verdana"/>
          <w:sz w:val="20"/>
        </w:rPr>
        <w:t>hodnocení efektivnosti projektů dopravní infrastruktury, v souladu s rezortní metodikou pro hodnocení ekonomické efektivnosti projektů dopravních staveb, příloha č. 8.  Zpravidla tedy slovní zdůvodnění nezbytnosti, finanční analýzu, finanční rozvahu a</w:t>
      </w:r>
      <w:r w:rsidR="00D110A4">
        <w:rPr>
          <w:rFonts w:ascii="Verdana" w:hAnsi="Verdana"/>
          <w:sz w:val="20"/>
        </w:rPr>
        <w:t> </w:t>
      </w:r>
      <w:r w:rsidR="00550C1A" w:rsidRPr="00A84F32">
        <w:rPr>
          <w:rFonts w:ascii="Verdana" w:hAnsi="Verdana"/>
          <w:sz w:val="20"/>
        </w:rPr>
        <w:t>MKA.</w:t>
      </w:r>
      <w:r w:rsidR="00761DF8">
        <w:rPr>
          <w:rFonts w:ascii="Verdana" w:hAnsi="Verdana"/>
          <w:sz w:val="20"/>
        </w:rPr>
        <w:t xml:space="preserve"> Ekonomické hodnocení bude obsahovat vyhodnocení jednotlivých variant, jejich popis, finanční rozvahu a na základě vyhodnocení přínosů a mínusů jednotlivých variant i zdůvodnění výběru vybrané varianty.</w:t>
      </w:r>
    </w:p>
    <w:p w:rsidR="00D0647C" w:rsidRPr="00A84F32" w:rsidRDefault="00D0647C" w:rsidP="00550C1A">
      <w:pPr>
        <w:spacing w:after="200" w:line="276" w:lineRule="auto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 xml:space="preserve">Záměr projektu bude obsahovat řešení nedovolené veřejné podpory dle </w:t>
      </w:r>
      <w:r w:rsidR="005348D5" w:rsidRPr="00A84F32">
        <w:rPr>
          <w:rFonts w:ascii="Verdana" w:hAnsi="Verdana"/>
          <w:sz w:val="20"/>
        </w:rPr>
        <w:t xml:space="preserve">Pokynu generálního ředitele SŽDC PO-19/2018-GŘ „Řešení veřejné podpory při investiční činnosti do budovy ON“. </w:t>
      </w:r>
    </w:p>
    <w:p w:rsidR="005127E8" w:rsidRPr="00A84F32" w:rsidRDefault="005127E8" w:rsidP="00550C1A">
      <w:pPr>
        <w:jc w:val="both"/>
        <w:rPr>
          <w:rFonts w:ascii="Verdana" w:hAnsi="Verdana"/>
          <w:sz w:val="20"/>
        </w:rPr>
      </w:pPr>
    </w:p>
    <w:p w:rsidR="005127E8" w:rsidRPr="00A84F32" w:rsidRDefault="005127E8" w:rsidP="00550C1A">
      <w:p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Následující text podrobněji řeší obsah některých kapitol</w:t>
      </w:r>
      <w:r w:rsidR="00550C1A" w:rsidRPr="00A84F32">
        <w:rPr>
          <w:rFonts w:ascii="Verdana" w:hAnsi="Verdana"/>
          <w:sz w:val="20"/>
        </w:rPr>
        <w:t xml:space="preserve"> ZP</w:t>
      </w:r>
      <w:r w:rsidRPr="00A84F32">
        <w:rPr>
          <w:rFonts w:ascii="Verdana" w:hAnsi="Verdana"/>
          <w:sz w:val="20"/>
        </w:rPr>
        <w:t>, které jsou předepsány výše uvedenou směrnicí</w:t>
      </w:r>
      <w:r w:rsidR="00550C1A" w:rsidRPr="00A84F32">
        <w:rPr>
          <w:rFonts w:ascii="Verdana" w:hAnsi="Verdana"/>
          <w:sz w:val="20"/>
        </w:rPr>
        <w:t xml:space="preserve"> MD</w:t>
      </w:r>
      <w:r w:rsidRPr="00A84F32">
        <w:rPr>
          <w:rFonts w:ascii="Verdana" w:hAnsi="Verdana"/>
          <w:sz w:val="20"/>
        </w:rPr>
        <w:t>:</w:t>
      </w:r>
    </w:p>
    <w:p w:rsidR="007270D5" w:rsidRPr="00A84F32" w:rsidRDefault="007270D5" w:rsidP="00550C1A">
      <w:pPr>
        <w:jc w:val="both"/>
        <w:rPr>
          <w:rFonts w:ascii="Verdana" w:hAnsi="Verdana"/>
          <w:b/>
          <w:sz w:val="20"/>
        </w:rPr>
      </w:pPr>
    </w:p>
    <w:p w:rsidR="007270D5" w:rsidRPr="00A84F32" w:rsidRDefault="007270D5" w:rsidP="00550C1A">
      <w:pPr>
        <w:jc w:val="both"/>
        <w:rPr>
          <w:rFonts w:ascii="Verdana" w:hAnsi="Verdana"/>
          <w:b/>
          <w:sz w:val="20"/>
          <w:u w:val="single"/>
        </w:rPr>
      </w:pPr>
      <w:r w:rsidRPr="00A84F32">
        <w:rPr>
          <w:rFonts w:ascii="Verdana" w:hAnsi="Verdana"/>
          <w:b/>
          <w:sz w:val="20"/>
          <w:u w:val="single"/>
        </w:rPr>
        <w:t xml:space="preserve">Kapitola 2 – „Návaznost na schválené koncepce a programy“ </w:t>
      </w:r>
      <w:r w:rsidR="008A1692" w:rsidRPr="00A84F32">
        <w:rPr>
          <w:rFonts w:ascii="Verdana" w:hAnsi="Verdana"/>
          <w:b/>
          <w:sz w:val="20"/>
          <w:u w:val="single"/>
        </w:rPr>
        <w:t>bude</w:t>
      </w:r>
      <w:r w:rsidRPr="00A84F32">
        <w:rPr>
          <w:rFonts w:ascii="Verdana" w:hAnsi="Verdana"/>
          <w:b/>
          <w:sz w:val="20"/>
          <w:u w:val="single"/>
        </w:rPr>
        <w:t xml:space="preserve"> obsahovat:</w:t>
      </w:r>
    </w:p>
    <w:p w:rsidR="007270D5" w:rsidRPr="00A84F32" w:rsidRDefault="007270D5" w:rsidP="00550C1A">
      <w:pPr>
        <w:jc w:val="both"/>
        <w:rPr>
          <w:rFonts w:ascii="Verdana" w:hAnsi="Verdana"/>
          <w:sz w:val="20"/>
        </w:rPr>
      </w:pPr>
    </w:p>
    <w:p w:rsidR="007270D5" w:rsidRPr="00A84F32" w:rsidRDefault="007270D5" w:rsidP="00550C1A">
      <w:pPr>
        <w:pStyle w:val="Nadpis2"/>
        <w:numPr>
          <w:ilvl w:val="0"/>
          <w:numId w:val="30"/>
        </w:numPr>
        <w:jc w:val="both"/>
        <w:rPr>
          <w:rFonts w:ascii="Verdana" w:hAnsi="Verdana" w:cs="Times New Roman"/>
          <w:color w:val="auto"/>
          <w:sz w:val="20"/>
          <w:szCs w:val="24"/>
        </w:rPr>
      </w:pPr>
      <w:r w:rsidRPr="00A84F32">
        <w:rPr>
          <w:rFonts w:ascii="Verdana" w:hAnsi="Verdana" w:cs="Times New Roman"/>
          <w:color w:val="auto"/>
          <w:sz w:val="20"/>
          <w:szCs w:val="24"/>
        </w:rPr>
        <w:t>Návaznost na schválené koncepce a programy:</w:t>
      </w:r>
    </w:p>
    <w:p w:rsidR="007270D5" w:rsidRPr="00A84F32" w:rsidRDefault="009E209B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K</w:t>
      </w:r>
      <w:r w:rsidRPr="00A84F32">
        <w:rPr>
          <w:rFonts w:ascii="Verdana" w:hAnsi="Verdana"/>
          <w:sz w:val="20"/>
        </w:rPr>
        <w:t xml:space="preserve">oncepce </w:t>
      </w:r>
      <w:r w:rsidR="007270D5" w:rsidRPr="00A84F32">
        <w:rPr>
          <w:rFonts w:ascii="Verdana" w:hAnsi="Verdana"/>
          <w:sz w:val="20"/>
        </w:rPr>
        <w:t>při nakládání s nemovitostmi osobních nádraží</w:t>
      </w:r>
      <w:r>
        <w:rPr>
          <w:rFonts w:ascii="Verdana" w:hAnsi="Verdana"/>
          <w:sz w:val="20"/>
        </w:rPr>
        <w:t xml:space="preserve"> (dále jen Koncepce)</w:t>
      </w:r>
      <w:r w:rsidR="000B3F9E" w:rsidRPr="00A84F32">
        <w:rPr>
          <w:rFonts w:ascii="Verdana" w:hAnsi="Verdana"/>
          <w:sz w:val="20"/>
        </w:rPr>
        <w:t>;</w:t>
      </w:r>
    </w:p>
    <w:p w:rsidR="009E209B" w:rsidRDefault="003D4741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s</w:t>
      </w:r>
      <w:r w:rsidR="00876FFD" w:rsidRPr="00A84F32">
        <w:rPr>
          <w:rFonts w:ascii="Verdana" w:hAnsi="Verdana"/>
          <w:sz w:val="20"/>
        </w:rPr>
        <w:t>tátní energetická koncepce České Republiky</w:t>
      </w:r>
      <w:r w:rsidR="009E209B">
        <w:rPr>
          <w:rFonts w:ascii="Verdana" w:hAnsi="Verdana"/>
          <w:sz w:val="20"/>
        </w:rPr>
        <w:t>;</w:t>
      </w:r>
    </w:p>
    <w:p w:rsidR="009E209B" w:rsidRPr="00A84F32" w:rsidRDefault="009E209B" w:rsidP="009E209B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 xml:space="preserve">dopravní politika ČR pro </w:t>
      </w:r>
      <w:proofErr w:type="gramStart"/>
      <w:r w:rsidRPr="00A84F32">
        <w:rPr>
          <w:rFonts w:ascii="Verdana" w:hAnsi="Verdana"/>
          <w:sz w:val="20"/>
        </w:rPr>
        <w:t>období  2014</w:t>
      </w:r>
      <w:proofErr w:type="gramEnd"/>
      <w:r w:rsidRPr="00A84F32">
        <w:rPr>
          <w:rFonts w:ascii="Verdana" w:hAnsi="Verdana"/>
          <w:sz w:val="20"/>
        </w:rPr>
        <w:t xml:space="preserve"> – 2020;</w:t>
      </w:r>
    </w:p>
    <w:p w:rsidR="009E209B" w:rsidRPr="00A84F32" w:rsidRDefault="009E209B" w:rsidP="009E209B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Bílá kniha – Koncepce veřejné dopravy 2015 – 2020;</w:t>
      </w:r>
    </w:p>
    <w:p w:rsidR="009E209B" w:rsidRPr="00A84F32" w:rsidRDefault="009E209B" w:rsidP="009E209B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národní strategie rozvoje cyklistické dopravy</w:t>
      </w:r>
      <w:r>
        <w:rPr>
          <w:rFonts w:ascii="Verdana" w:hAnsi="Verdana"/>
          <w:sz w:val="20"/>
        </w:rPr>
        <w:t>.</w:t>
      </w:r>
    </w:p>
    <w:p w:rsidR="008C24EE" w:rsidRPr="00A84F32" w:rsidRDefault="008C24EE" w:rsidP="009E209B">
      <w:pPr>
        <w:pStyle w:val="Odstavecseseznamem"/>
        <w:ind w:left="1425"/>
        <w:jc w:val="both"/>
        <w:rPr>
          <w:rFonts w:ascii="Verdana" w:hAnsi="Verdana"/>
          <w:sz w:val="20"/>
        </w:rPr>
      </w:pPr>
    </w:p>
    <w:p w:rsidR="007270D5" w:rsidRPr="00A84F32" w:rsidRDefault="007270D5" w:rsidP="00550C1A">
      <w:pPr>
        <w:pStyle w:val="Odstavecseseznamem"/>
        <w:ind w:left="1425"/>
        <w:jc w:val="both"/>
        <w:rPr>
          <w:rFonts w:ascii="Verdana" w:hAnsi="Verdana"/>
          <w:sz w:val="20"/>
        </w:rPr>
      </w:pPr>
    </w:p>
    <w:p w:rsidR="007270D5" w:rsidRPr="00A84F32" w:rsidRDefault="007270D5" w:rsidP="00550C1A">
      <w:pPr>
        <w:pStyle w:val="Nadpis2"/>
        <w:numPr>
          <w:ilvl w:val="0"/>
          <w:numId w:val="30"/>
        </w:numPr>
        <w:jc w:val="both"/>
        <w:rPr>
          <w:rFonts w:ascii="Verdana" w:hAnsi="Verdana" w:cs="Times New Roman"/>
          <w:color w:val="auto"/>
          <w:sz w:val="20"/>
          <w:szCs w:val="24"/>
        </w:rPr>
      </w:pPr>
      <w:r w:rsidRPr="00A84F32">
        <w:rPr>
          <w:rFonts w:ascii="Verdana" w:hAnsi="Verdana" w:cs="Times New Roman"/>
          <w:color w:val="auto"/>
          <w:sz w:val="20"/>
          <w:szCs w:val="24"/>
        </w:rPr>
        <w:t>Související investiční/opravné akce:</w:t>
      </w:r>
    </w:p>
    <w:p w:rsidR="007270D5" w:rsidRPr="00A84F32" w:rsidRDefault="000B3F9E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s</w:t>
      </w:r>
      <w:r w:rsidR="007270D5" w:rsidRPr="00A84F32">
        <w:rPr>
          <w:rFonts w:ascii="Verdana" w:hAnsi="Verdana"/>
          <w:sz w:val="20"/>
        </w:rPr>
        <w:t>ouvisející stavby SŽDC</w:t>
      </w:r>
      <w:r w:rsidRPr="00A84F32">
        <w:rPr>
          <w:rFonts w:ascii="Verdana" w:hAnsi="Verdana"/>
          <w:sz w:val="20"/>
        </w:rPr>
        <w:t>;</w:t>
      </w:r>
    </w:p>
    <w:p w:rsidR="007270D5" w:rsidRDefault="000B3F9E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s</w:t>
      </w:r>
      <w:r w:rsidR="007270D5" w:rsidRPr="00A84F32">
        <w:rPr>
          <w:rFonts w:ascii="Verdana" w:hAnsi="Verdana"/>
          <w:sz w:val="20"/>
        </w:rPr>
        <w:t>ouvisející stavby ostatních subjektů do navazující dopravní infrastruktury</w:t>
      </w:r>
      <w:r w:rsidR="008C24EE" w:rsidRPr="00A84F32">
        <w:rPr>
          <w:rFonts w:ascii="Verdana" w:hAnsi="Verdana"/>
          <w:sz w:val="20"/>
        </w:rPr>
        <w:t xml:space="preserve"> a</w:t>
      </w:r>
      <w:r w:rsidR="002D4F75" w:rsidRPr="00A84F32">
        <w:rPr>
          <w:rFonts w:ascii="Verdana" w:hAnsi="Verdana"/>
          <w:sz w:val="20"/>
        </w:rPr>
        <w:t> </w:t>
      </w:r>
      <w:r w:rsidR="008C24EE" w:rsidRPr="00A84F32">
        <w:rPr>
          <w:rFonts w:ascii="Verdana" w:hAnsi="Verdana"/>
          <w:sz w:val="20"/>
        </w:rPr>
        <w:t>jejich věcná a časová návaznost</w:t>
      </w:r>
      <w:r w:rsidR="009E209B">
        <w:rPr>
          <w:rFonts w:ascii="Verdana" w:hAnsi="Verdana"/>
          <w:sz w:val="20"/>
        </w:rPr>
        <w:t>;</w:t>
      </w:r>
    </w:p>
    <w:p w:rsidR="009E209B" w:rsidRPr="009E209B" w:rsidRDefault="009E209B" w:rsidP="009E209B">
      <w:pPr>
        <w:shd w:val="clear" w:color="auto" w:fill="DEEAF6" w:themeFill="accent1" w:themeFillTint="33"/>
        <w:ind w:left="1065"/>
        <w:jc w:val="both"/>
        <w:rPr>
          <w:rFonts w:ascii="Verdana" w:hAnsi="Verdana"/>
          <w:i/>
          <w:sz w:val="20"/>
        </w:rPr>
      </w:pPr>
      <w:r w:rsidRPr="009E209B">
        <w:rPr>
          <w:rFonts w:ascii="Verdana" w:hAnsi="Verdana"/>
          <w:i/>
          <w:sz w:val="20"/>
        </w:rPr>
        <w:t xml:space="preserve">Bude popsáno, jak tyto akce ovlivňují funkční využití budovy ON, její napojení na navazující dopravní infrastrukturu, jaká opatření jsou pro zajištění vzájemné koordinace součástí projektu. </w:t>
      </w:r>
    </w:p>
    <w:p w:rsidR="009E209B" w:rsidRDefault="009E209B" w:rsidP="009E209B">
      <w:pPr>
        <w:pStyle w:val="Odstavecseseznamem"/>
        <w:ind w:left="1425"/>
        <w:jc w:val="both"/>
        <w:rPr>
          <w:rFonts w:ascii="Verdana" w:hAnsi="Verdana"/>
          <w:sz w:val="20"/>
        </w:rPr>
      </w:pPr>
    </w:p>
    <w:p w:rsidR="009E209B" w:rsidRPr="00A84F32" w:rsidRDefault="009E209B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zdůvodnění, proč byla akce zařazena do plánu investic – v souladu s Koncepcí a vzhledem k umístění v PRRON. Výjimky oproti těmto principům budou zdůvodněny.</w:t>
      </w:r>
    </w:p>
    <w:p w:rsidR="007270D5" w:rsidRPr="00A84F32" w:rsidRDefault="007270D5" w:rsidP="00550C1A">
      <w:pPr>
        <w:pStyle w:val="Odstavecseseznamem"/>
        <w:ind w:left="1425"/>
        <w:jc w:val="both"/>
        <w:rPr>
          <w:rFonts w:ascii="Verdana" w:hAnsi="Verdana"/>
          <w:sz w:val="20"/>
        </w:rPr>
      </w:pPr>
    </w:p>
    <w:p w:rsidR="00AA7A4E" w:rsidRDefault="00AA7A4E">
      <w:pPr>
        <w:spacing w:after="160" w:line="259" w:lineRule="auto"/>
        <w:rPr>
          <w:rFonts w:ascii="Verdana" w:hAnsi="Verdana"/>
          <w:i/>
          <w:sz w:val="20"/>
          <w:shd w:val="clear" w:color="auto" w:fill="A6A6A6" w:themeFill="background1" w:themeFillShade="A6"/>
        </w:rPr>
      </w:pPr>
    </w:p>
    <w:p w:rsidR="00761DF8" w:rsidRDefault="00761DF8">
      <w:pPr>
        <w:spacing w:after="160" w:line="259" w:lineRule="auto"/>
        <w:rPr>
          <w:rFonts w:ascii="Verdana" w:hAnsi="Verdana"/>
          <w:i/>
          <w:sz w:val="20"/>
          <w:shd w:val="clear" w:color="auto" w:fill="A6A6A6" w:themeFill="background1" w:themeFillShade="A6"/>
        </w:rPr>
      </w:pPr>
    </w:p>
    <w:p w:rsidR="005127E8" w:rsidRPr="00AA7A4E" w:rsidRDefault="005127E8" w:rsidP="00550C1A">
      <w:pPr>
        <w:jc w:val="both"/>
        <w:rPr>
          <w:rFonts w:ascii="Verdana" w:hAnsi="Verdana"/>
          <w:b/>
          <w:sz w:val="20"/>
          <w:u w:val="single"/>
        </w:rPr>
      </w:pPr>
      <w:r w:rsidRPr="00AA7A4E">
        <w:rPr>
          <w:rFonts w:ascii="Verdana" w:hAnsi="Verdana"/>
          <w:b/>
          <w:sz w:val="20"/>
          <w:u w:val="single"/>
        </w:rPr>
        <w:t xml:space="preserve">Kapitola 3 – </w:t>
      </w:r>
      <w:r w:rsidR="007270D5" w:rsidRPr="00AA7A4E">
        <w:rPr>
          <w:rFonts w:ascii="Verdana" w:hAnsi="Verdana"/>
          <w:b/>
          <w:sz w:val="20"/>
          <w:u w:val="single"/>
        </w:rPr>
        <w:t>„</w:t>
      </w:r>
      <w:r w:rsidRPr="00AA7A4E">
        <w:rPr>
          <w:rFonts w:ascii="Verdana" w:hAnsi="Verdana"/>
          <w:b/>
          <w:sz w:val="20"/>
          <w:u w:val="single"/>
        </w:rPr>
        <w:t>Popis stávajícího stavu a zdůvodnění nezbytnosti realizace projektu</w:t>
      </w:r>
      <w:r w:rsidR="007270D5" w:rsidRPr="00AA7A4E">
        <w:rPr>
          <w:rFonts w:ascii="Verdana" w:hAnsi="Verdana"/>
          <w:b/>
          <w:sz w:val="20"/>
          <w:u w:val="single"/>
        </w:rPr>
        <w:t>“</w:t>
      </w:r>
      <w:r w:rsidRPr="00AA7A4E">
        <w:rPr>
          <w:rFonts w:ascii="Verdana" w:hAnsi="Verdana"/>
          <w:b/>
          <w:sz w:val="20"/>
          <w:u w:val="single"/>
        </w:rPr>
        <w:t xml:space="preserve"> </w:t>
      </w:r>
      <w:r w:rsidR="008A1692" w:rsidRPr="00AA7A4E">
        <w:rPr>
          <w:rFonts w:ascii="Verdana" w:hAnsi="Verdana"/>
          <w:b/>
          <w:sz w:val="20"/>
          <w:u w:val="single"/>
        </w:rPr>
        <w:t>bude</w:t>
      </w:r>
      <w:r w:rsidRPr="00AA7A4E">
        <w:rPr>
          <w:rFonts w:ascii="Verdana" w:hAnsi="Verdana"/>
          <w:b/>
          <w:sz w:val="20"/>
          <w:u w:val="single"/>
        </w:rPr>
        <w:t xml:space="preserve"> obsahovat:</w:t>
      </w:r>
    </w:p>
    <w:p w:rsidR="00893D49" w:rsidRPr="00A84F32" w:rsidRDefault="00F9372B" w:rsidP="00550C1A">
      <w:pPr>
        <w:pStyle w:val="Nadpis2"/>
        <w:numPr>
          <w:ilvl w:val="0"/>
          <w:numId w:val="35"/>
        </w:numPr>
        <w:jc w:val="both"/>
        <w:rPr>
          <w:rFonts w:ascii="Verdana" w:hAnsi="Verdana" w:cs="Times New Roman"/>
          <w:color w:val="auto"/>
          <w:sz w:val="20"/>
          <w:szCs w:val="24"/>
        </w:rPr>
      </w:pPr>
      <w:r w:rsidRPr="00A84F32">
        <w:rPr>
          <w:rFonts w:ascii="Verdana" w:hAnsi="Verdana" w:cs="Times New Roman"/>
          <w:color w:val="auto"/>
          <w:sz w:val="20"/>
          <w:szCs w:val="24"/>
        </w:rPr>
        <w:t>Identifikace a v</w:t>
      </w:r>
      <w:r w:rsidR="00893D49" w:rsidRPr="00A84F32">
        <w:rPr>
          <w:rFonts w:ascii="Verdana" w:hAnsi="Verdana" w:cs="Times New Roman"/>
          <w:color w:val="auto"/>
          <w:sz w:val="20"/>
          <w:szCs w:val="24"/>
        </w:rPr>
        <w:t>ýznam</w:t>
      </w:r>
      <w:r w:rsidRPr="00A84F32">
        <w:rPr>
          <w:rFonts w:ascii="Verdana" w:hAnsi="Verdana" w:cs="Times New Roman"/>
          <w:color w:val="auto"/>
          <w:sz w:val="20"/>
          <w:szCs w:val="24"/>
        </w:rPr>
        <w:t xml:space="preserve"> </w:t>
      </w:r>
      <w:r w:rsidR="00893D49" w:rsidRPr="00A84F32">
        <w:rPr>
          <w:rFonts w:ascii="Verdana" w:hAnsi="Verdana" w:cs="Times New Roman"/>
          <w:color w:val="auto"/>
          <w:sz w:val="20"/>
          <w:szCs w:val="24"/>
        </w:rPr>
        <w:t>stanice</w:t>
      </w:r>
      <w:r w:rsidR="000B3F9E" w:rsidRPr="00A84F32">
        <w:rPr>
          <w:rFonts w:ascii="Verdana" w:hAnsi="Verdana" w:cs="Times New Roman"/>
          <w:color w:val="auto"/>
          <w:sz w:val="20"/>
          <w:szCs w:val="24"/>
        </w:rPr>
        <w:t>:</w:t>
      </w:r>
    </w:p>
    <w:p w:rsidR="00F9372B" w:rsidRPr="00A84F32" w:rsidRDefault="000B3F9E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m</w:t>
      </w:r>
      <w:r w:rsidR="00F9372B" w:rsidRPr="00A84F32">
        <w:rPr>
          <w:rFonts w:ascii="Verdana" w:hAnsi="Verdana"/>
          <w:sz w:val="20"/>
        </w:rPr>
        <w:t>ísto stavby (adresa, katastrální území, dotčené pozemky a stavby)</w:t>
      </w:r>
      <w:r w:rsidRPr="00A84F32">
        <w:rPr>
          <w:rFonts w:ascii="Verdana" w:hAnsi="Verdana"/>
          <w:sz w:val="20"/>
        </w:rPr>
        <w:t>;</w:t>
      </w:r>
    </w:p>
    <w:p w:rsidR="000F1030" w:rsidRPr="00A84F32" w:rsidRDefault="000B3F9E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č</w:t>
      </w:r>
      <w:r w:rsidR="000F1030" w:rsidRPr="00A84F32">
        <w:rPr>
          <w:rFonts w:ascii="Verdana" w:hAnsi="Verdana"/>
          <w:sz w:val="20"/>
        </w:rPr>
        <w:t>íslo železniční stanice (SR70)</w:t>
      </w:r>
      <w:r w:rsidRPr="00A84F32">
        <w:rPr>
          <w:rFonts w:ascii="Verdana" w:hAnsi="Verdana"/>
          <w:sz w:val="20"/>
        </w:rPr>
        <w:t>;</w:t>
      </w:r>
    </w:p>
    <w:p w:rsidR="00F9372B" w:rsidRPr="00A84F32" w:rsidRDefault="000B3F9E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k</w:t>
      </w:r>
      <w:r w:rsidR="00F9372B" w:rsidRPr="00A84F32">
        <w:rPr>
          <w:rFonts w:ascii="Verdana" w:hAnsi="Verdana"/>
          <w:sz w:val="20"/>
        </w:rPr>
        <w:t>ategorie stanice dle UIC, celkové pořadí dle významu budovy</w:t>
      </w:r>
      <w:r w:rsidRPr="00A84F32">
        <w:rPr>
          <w:rFonts w:ascii="Verdana" w:hAnsi="Verdana"/>
          <w:sz w:val="20"/>
        </w:rPr>
        <w:t>;</w:t>
      </w:r>
    </w:p>
    <w:p w:rsidR="00C452A9" w:rsidRPr="00A84F32" w:rsidRDefault="000B3F9E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v</w:t>
      </w:r>
      <w:r w:rsidR="00C452A9" w:rsidRPr="00A84F32">
        <w:rPr>
          <w:rFonts w:ascii="Verdana" w:hAnsi="Verdana"/>
          <w:sz w:val="20"/>
        </w:rPr>
        <w:t>ýznam z hlediska mezinárodní, vnitrostátní a regionální dopravy</w:t>
      </w:r>
      <w:r w:rsidRPr="00A84F32">
        <w:rPr>
          <w:rFonts w:ascii="Verdana" w:hAnsi="Verdana"/>
          <w:sz w:val="20"/>
        </w:rPr>
        <w:t>;</w:t>
      </w:r>
    </w:p>
    <w:p w:rsidR="000F1030" w:rsidRPr="00A84F32" w:rsidRDefault="000B3F9E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s</w:t>
      </w:r>
      <w:r w:rsidR="000F1030" w:rsidRPr="00A84F32">
        <w:rPr>
          <w:rFonts w:ascii="Verdana" w:hAnsi="Verdana"/>
          <w:sz w:val="20"/>
        </w:rPr>
        <w:t>oučást TEN-T</w:t>
      </w:r>
      <w:r w:rsidRPr="00A84F32">
        <w:rPr>
          <w:rFonts w:ascii="Verdana" w:hAnsi="Verdana"/>
          <w:sz w:val="20"/>
        </w:rPr>
        <w:t>;</w:t>
      </w:r>
    </w:p>
    <w:p w:rsidR="000F1030" w:rsidRPr="00A84F32" w:rsidRDefault="002E7783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uvede se informace</w:t>
      </w:r>
      <w:r w:rsidR="009E209B">
        <w:rPr>
          <w:rFonts w:ascii="Verdana" w:hAnsi="Verdana"/>
          <w:sz w:val="20"/>
        </w:rPr>
        <w:t xml:space="preserve"> o </w:t>
      </w:r>
      <w:r w:rsidR="000B3F9E" w:rsidRPr="00A84F32">
        <w:rPr>
          <w:rFonts w:ascii="Verdana" w:hAnsi="Verdana"/>
          <w:sz w:val="20"/>
        </w:rPr>
        <w:t>p</w:t>
      </w:r>
      <w:r w:rsidR="000F1030" w:rsidRPr="00A84F32">
        <w:rPr>
          <w:rFonts w:ascii="Verdana" w:hAnsi="Verdana"/>
          <w:sz w:val="20"/>
        </w:rPr>
        <w:t>amátkov</w:t>
      </w:r>
      <w:r w:rsidR="009E209B">
        <w:rPr>
          <w:rFonts w:ascii="Verdana" w:hAnsi="Verdana"/>
          <w:sz w:val="20"/>
        </w:rPr>
        <w:t>é ochraně</w:t>
      </w:r>
      <w:r w:rsidR="000B3F9E" w:rsidRPr="00A84F32">
        <w:rPr>
          <w:rFonts w:ascii="Verdana" w:hAnsi="Verdana"/>
          <w:sz w:val="20"/>
        </w:rPr>
        <w:t>.</w:t>
      </w:r>
    </w:p>
    <w:p w:rsidR="00953DA7" w:rsidRPr="00A84F32" w:rsidRDefault="00953DA7" w:rsidP="00876FFD">
      <w:pPr>
        <w:pStyle w:val="Nadpis2"/>
        <w:numPr>
          <w:ilvl w:val="0"/>
          <w:numId w:val="36"/>
        </w:numPr>
        <w:jc w:val="both"/>
        <w:rPr>
          <w:rFonts w:ascii="Verdana" w:hAnsi="Verdana" w:cs="Times New Roman"/>
          <w:color w:val="auto"/>
          <w:sz w:val="20"/>
          <w:szCs w:val="24"/>
        </w:rPr>
      </w:pPr>
      <w:r w:rsidRPr="00A84F32">
        <w:rPr>
          <w:rFonts w:ascii="Verdana" w:hAnsi="Verdana" w:cs="Times New Roman"/>
          <w:color w:val="auto"/>
          <w:sz w:val="20"/>
          <w:szCs w:val="24"/>
        </w:rPr>
        <w:t xml:space="preserve">Popis </w:t>
      </w:r>
      <w:proofErr w:type="spellStart"/>
      <w:r w:rsidR="002E7783">
        <w:rPr>
          <w:rFonts w:ascii="Verdana" w:hAnsi="Verdana" w:cs="Times New Roman"/>
          <w:color w:val="auto"/>
          <w:sz w:val="20"/>
          <w:szCs w:val="24"/>
        </w:rPr>
        <w:t>žst</w:t>
      </w:r>
      <w:proofErr w:type="spellEnd"/>
      <w:r w:rsidR="002E7783">
        <w:rPr>
          <w:rFonts w:ascii="Verdana" w:hAnsi="Verdana" w:cs="Times New Roman"/>
          <w:color w:val="auto"/>
          <w:sz w:val="20"/>
          <w:szCs w:val="24"/>
        </w:rPr>
        <w:t xml:space="preserve">. </w:t>
      </w:r>
      <w:r w:rsidRPr="00A84F32">
        <w:rPr>
          <w:rFonts w:ascii="Verdana" w:hAnsi="Verdana" w:cs="Times New Roman"/>
          <w:color w:val="auto"/>
          <w:sz w:val="20"/>
          <w:szCs w:val="24"/>
        </w:rPr>
        <w:t>jako celku z hlediska provozovatele dráhy a širších vazeb:</w:t>
      </w:r>
    </w:p>
    <w:p w:rsidR="00C452A9" w:rsidRPr="00A84F32" w:rsidRDefault="000B3F9E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k</w:t>
      </w:r>
      <w:r w:rsidR="00C452A9" w:rsidRPr="00A84F32">
        <w:rPr>
          <w:rFonts w:ascii="Verdana" w:hAnsi="Verdana"/>
          <w:sz w:val="20"/>
        </w:rPr>
        <w:t xml:space="preserve">omplexní popis </w:t>
      </w:r>
      <w:proofErr w:type="spellStart"/>
      <w:r w:rsidR="00C452A9" w:rsidRPr="00A84F32">
        <w:rPr>
          <w:rFonts w:ascii="Verdana" w:hAnsi="Verdana"/>
          <w:sz w:val="20"/>
        </w:rPr>
        <w:t>žst</w:t>
      </w:r>
      <w:proofErr w:type="spellEnd"/>
      <w:r w:rsidR="002E7783">
        <w:rPr>
          <w:rFonts w:ascii="Verdana" w:hAnsi="Verdana"/>
          <w:sz w:val="20"/>
        </w:rPr>
        <w:t>.</w:t>
      </w:r>
      <w:r w:rsidR="00C452A9" w:rsidRPr="00A84F32">
        <w:rPr>
          <w:rFonts w:ascii="Verdana" w:hAnsi="Verdana"/>
          <w:sz w:val="20"/>
        </w:rPr>
        <w:t xml:space="preserve"> (provozní, technologické objekty, přístavby…)</w:t>
      </w:r>
      <w:r w:rsidR="002E7783">
        <w:rPr>
          <w:rFonts w:ascii="Verdana" w:hAnsi="Verdana"/>
          <w:sz w:val="20"/>
        </w:rPr>
        <w:t xml:space="preserve"> z pohledu provozovatele železniční infrastruktury</w:t>
      </w:r>
      <w:r w:rsidRPr="00A84F32">
        <w:rPr>
          <w:rFonts w:ascii="Verdana" w:hAnsi="Verdana"/>
          <w:sz w:val="20"/>
        </w:rPr>
        <w:t>;</w:t>
      </w:r>
    </w:p>
    <w:p w:rsidR="002E7783" w:rsidRDefault="002E7783" w:rsidP="00EF5CF8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popsány vazby</w:t>
      </w:r>
      <w:r w:rsidR="00C452A9" w:rsidRPr="00A84F32">
        <w:rPr>
          <w:rFonts w:ascii="Verdana" w:hAnsi="Verdana"/>
          <w:sz w:val="20"/>
        </w:rPr>
        <w:t xml:space="preserve"> na navazující dopravní infrastrukturu (VHD, IAD, cyklostezky, významné turistic</w:t>
      </w:r>
      <w:r w:rsidR="005127E8" w:rsidRPr="00A84F32">
        <w:rPr>
          <w:rFonts w:ascii="Verdana" w:hAnsi="Verdana"/>
          <w:sz w:val="20"/>
        </w:rPr>
        <w:t>ké příležitosti, P+R, K+R, B+R) včetně přehledného schématu hlavních toků cestující veřejnosti</w:t>
      </w:r>
      <w:r>
        <w:rPr>
          <w:rFonts w:ascii="Verdana" w:hAnsi="Verdana"/>
          <w:sz w:val="20"/>
        </w:rPr>
        <w:t>;</w:t>
      </w:r>
    </w:p>
    <w:p w:rsidR="002E7783" w:rsidRDefault="002E7783" w:rsidP="00EF5CF8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stanoven</w:t>
      </w:r>
      <w:r w:rsidRPr="002E7783">
        <w:rPr>
          <w:rFonts w:ascii="Verdana" w:hAnsi="Verdana"/>
          <w:sz w:val="20"/>
        </w:rPr>
        <w:t xml:space="preserve"> potřebný poč</w:t>
      </w:r>
      <w:r>
        <w:rPr>
          <w:rFonts w:ascii="Verdana" w:hAnsi="Verdana"/>
          <w:sz w:val="20"/>
        </w:rPr>
        <w:t>e</w:t>
      </w:r>
      <w:r w:rsidRPr="002E7783">
        <w:rPr>
          <w:rFonts w:ascii="Verdana" w:hAnsi="Verdana"/>
          <w:sz w:val="20"/>
        </w:rPr>
        <w:t xml:space="preserve">t parkovacích stání u výpravní budovy a to v souladu s bodem </w:t>
      </w:r>
      <w:proofErr w:type="gramStart"/>
      <w:r w:rsidRPr="002E7783">
        <w:rPr>
          <w:rFonts w:ascii="Verdana" w:hAnsi="Verdana"/>
          <w:sz w:val="20"/>
        </w:rPr>
        <w:t>14.1.17</w:t>
      </w:r>
      <w:proofErr w:type="gramEnd"/>
      <w:r w:rsidRPr="002E7783">
        <w:rPr>
          <w:rFonts w:ascii="Verdana" w:hAnsi="Verdana"/>
          <w:sz w:val="20"/>
        </w:rPr>
        <w:t xml:space="preserve"> platné normy ČSN 73 6110</w:t>
      </w:r>
      <w:r>
        <w:rPr>
          <w:rFonts w:ascii="Verdana" w:hAnsi="Verdana"/>
          <w:sz w:val="20"/>
        </w:rPr>
        <w:t xml:space="preserve">;  </w:t>
      </w:r>
    </w:p>
    <w:p w:rsidR="00EF5CF8" w:rsidRPr="002E7783" w:rsidRDefault="002E7783" w:rsidP="00EF5CF8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</w:t>
      </w:r>
      <w:r w:rsidR="00EF5CF8" w:rsidRPr="002E7783">
        <w:rPr>
          <w:rFonts w:ascii="Verdana" w:hAnsi="Verdana"/>
          <w:sz w:val="20"/>
        </w:rPr>
        <w:t xml:space="preserve">ude doloženo, že bylo s městem projednáno, zda je nutné </w:t>
      </w:r>
      <w:r>
        <w:rPr>
          <w:rFonts w:ascii="Verdana" w:hAnsi="Verdana"/>
          <w:sz w:val="20"/>
        </w:rPr>
        <w:t>stav navazující dopravní infrastruktury (s důrazem na P+R, B+R)</w:t>
      </w:r>
      <w:r w:rsidR="00EF5CF8" w:rsidRPr="002E7783">
        <w:rPr>
          <w:rFonts w:ascii="Verdana" w:hAnsi="Verdana"/>
          <w:sz w:val="20"/>
        </w:rPr>
        <w:t xml:space="preserve"> nějak řešit a jaké jsou možnosti;</w:t>
      </w:r>
    </w:p>
    <w:p w:rsidR="00C452A9" w:rsidRPr="00A84F32" w:rsidRDefault="000B3F9E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i/>
          <w:sz w:val="20"/>
        </w:rPr>
      </w:pPr>
      <w:r w:rsidRPr="00A84F32">
        <w:rPr>
          <w:rFonts w:ascii="Verdana" w:hAnsi="Verdana"/>
          <w:sz w:val="20"/>
        </w:rPr>
        <w:t>n</w:t>
      </w:r>
      <w:r w:rsidR="003A05C4" w:rsidRPr="00A84F32">
        <w:rPr>
          <w:rFonts w:ascii="Verdana" w:hAnsi="Verdana"/>
          <w:sz w:val="20"/>
        </w:rPr>
        <w:t>apojení na technickou infrastrukturu (kanalizace a ostatní sítě)</w:t>
      </w:r>
      <w:r w:rsidRPr="00A84F32">
        <w:rPr>
          <w:rFonts w:ascii="Verdana" w:hAnsi="Verdana"/>
          <w:sz w:val="20"/>
        </w:rPr>
        <w:t>.</w:t>
      </w:r>
    </w:p>
    <w:p w:rsidR="005127E8" w:rsidRPr="00A84F32" w:rsidRDefault="005127E8" w:rsidP="009E209B">
      <w:pPr>
        <w:pStyle w:val="Odstavecseseznamem"/>
        <w:suppressAutoHyphens/>
        <w:spacing w:after="120"/>
        <w:ind w:left="1425"/>
        <w:jc w:val="both"/>
        <w:rPr>
          <w:rFonts w:ascii="Verdana" w:hAnsi="Verdana"/>
          <w:i/>
          <w:sz w:val="20"/>
        </w:rPr>
      </w:pPr>
    </w:p>
    <w:p w:rsidR="00DE4FC1" w:rsidRDefault="009E209B" w:rsidP="009E209B">
      <w:pPr>
        <w:suppressAutoHyphens/>
        <w:spacing w:after="120"/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  <w:shd w:val="clear" w:color="auto" w:fill="DEEAF6" w:themeFill="accent1" w:themeFillTint="33"/>
        </w:rPr>
        <w:t>Bude doplněno</w:t>
      </w:r>
      <w:r w:rsidR="00DE4FC1" w:rsidRPr="009E209B">
        <w:rPr>
          <w:rFonts w:ascii="Verdana" w:hAnsi="Verdana"/>
          <w:i/>
          <w:sz w:val="20"/>
          <w:shd w:val="clear" w:color="auto" w:fill="DEEAF6" w:themeFill="accent1" w:themeFillTint="33"/>
        </w:rPr>
        <w:t xml:space="preserve"> </w:t>
      </w:r>
      <w:proofErr w:type="spellStart"/>
      <w:r w:rsidR="00DE4FC1" w:rsidRPr="009E209B">
        <w:rPr>
          <w:rFonts w:ascii="Verdana" w:hAnsi="Verdana"/>
          <w:i/>
          <w:sz w:val="20"/>
          <w:shd w:val="clear" w:color="auto" w:fill="DEEAF6" w:themeFill="accent1" w:themeFillTint="33"/>
        </w:rPr>
        <w:t>orto</w:t>
      </w:r>
      <w:r w:rsidR="008A5EA5" w:rsidRPr="009E209B">
        <w:rPr>
          <w:rFonts w:ascii="Verdana" w:hAnsi="Verdana"/>
          <w:i/>
          <w:sz w:val="20"/>
          <w:shd w:val="clear" w:color="auto" w:fill="DEEAF6" w:themeFill="accent1" w:themeFillTint="33"/>
        </w:rPr>
        <w:t>foto</w:t>
      </w:r>
      <w:r w:rsidR="00DE4FC1" w:rsidRPr="009E209B">
        <w:rPr>
          <w:rFonts w:ascii="Verdana" w:hAnsi="Verdana"/>
          <w:i/>
          <w:sz w:val="20"/>
          <w:shd w:val="clear" w:color="auto" w:fill="DEEAF6" w:themeFill="accent1" w:themeFillTint="33"/>
        </w:rPr>
        <w:t>mapou</w:t>
      </w:r>
      <w:proofErr w:type="spellEnd"/>
      <w:r w:rsidR="00992DE5" w:rsidRPr="009E209B">
        <w:rPr>
          <w:rFonts w:ascii="Verdana" w:hAnsi="Verdana"/>
          <w:i/>
          <w:sz w:val="20"/>
          <w:shd w:val="clear" w:color="auto" w:fill="DEEAF6" w:themeFill="accent1" w:themeFillTint="33"/>
        </w:rPr>
        <w:t xml:space="preserve"> a turistickou mapou</w:t>
      </w:r>
      <w:r w:rsidR="00953DA7" w:rsidRPr="009E209B">
        <w:rPr>
          <w:rFonts w:ascii="Verdana" w:hAnsi="Verdana"/>
          <w:i/>
          <w:sz w:val="20"/>
          <w:shd w:val="clear" w:color="auto" w:fill="DEEAF6" w:themeFill="accent1" w:themeFillTint="33"/>
        </w:rPr>
        <w:t xml:space="preserve"> pro ilustraci výše uvedeného</w:t>
      </w:r>
      <w:r w:rsidR="00953DA7" w:rsidRPr="009E209B">
        <w:rPr>
          <w:rFonts w:ascii="Verdana" w:hAnsi="Verdana"/>
          <w:i/>
          <w:sz w:val="20"/>
        </w:rPr>
        <w:t>.</w:t>
      </w:r>
    </w:p>
    <w:p w:rsidR="009E209B" w:rsidRPr="00A84F32" w:rsidRDefault="009E209B" w:rsidP="009E209B">
      <w:pPr>
        <w:suppressAutoHyphens/>
        <w:spacing w:after="120"/>
        <w:jc w:val="both"/>
        <w:rPr>
          <w:rFonts w:ascii="Verdana" w:hAnsi="Verdana"/>
          <w:i/>
          <w:sz w:val="20"/>
        </w:rPr>
      </w:pPr>
    </w:p>
    <w:p w:rsidR="003A05C4" w:rsidRPr="00A84F32" w:rsidRDefault="00F9372B" w:rsidP="00876FFD">
      <w:pPr>
        <w:pStyle w:val="Nadpis2"/>
        <w:numPr>
          <w:ilvl w:val="0"/>
          <w:numId w:val="36"/>
        </w:numPr>
        <w:jc w:val="both"/>
        <w:rPr>
          <w:rFonts w:ascii="Verdana" w:hAnsi="Verdana" w:cs="Times New Roman"/>
          <w:color w:val="auto"/>
          <w:sz w:val="20"/>
          <w:szCs w:val="24"/>
        </w:rPr>
      </w:pPr>
      <w:r w:rsidRPr="00A84F32">
        <w:rPr>
          <w:rFonts w:ascii="Verdana" w:hAnsi="Verdana" w:cs="Times New Roman"/>
          <w:color w:val="auto"/>
          <w:sz w:val="20"/>
          <w:szCs w:val="24"/>
        </w:rPr>
        <w:t>S</w:t>
      </w:r>
      <w:r w:rsidR="003A05C4" w:rsidRPr="00A84F32">
        <w:rPr>
          <w:rFonts w:ascii="Verdana" w:hAnsi="Verdana" w:cs="Times New Roman"/>
          <w:color w:val="auto"/>
          <w:sz w:val="20"/>
          <w:szCs w:val="24"/>
        </w:rPr>
        <w:t>tavebně technick</w:t>
      </w:r>
      <w:r w:rsidRPr="00A84F32">
        <w:rPr>
          <w:rFonts w:ascii="Verdana" w:hAnsi="Verdana" w:cs="Times New Roman"/>
          <w:color w:val="auto"/>
          <w:sz w:val="20"/>
          <w:szCs w:val="24"/>
        </w:rPr>
        <w:t>ý</w:t>
      </w:r>
      <w:r w:rsidR="003A05C4" w:rsidRPr="00A84F32">
        <w:rPr>
          <w:rFonts w:ascii="Verdana" w:hAnsi="Verdana" w:cs="Times New Roman"/>
          <w:color w:val="auto"/>
          <w:sz w:val="20"/>
          <w:szCs w:val="24"/>
        </w:rPr>
        <w:t xml:space="preserve"> stav</w:t>
      </w:r>
      <w:r w:rsidR="000B3F9E" w:rsidRPr="00A84F32">
        <w:rPr>
          <w:rFonts w:ascii="Verdana" w:hAnsi="Verdana" w:cs="Times New Roman"/>
          <w:color w:val="auto"/>
          <w:sz w:val="20"/>
          <w:szCs w:val="24"/>
        </w:rPr>
        <w:t>:</w:t>
      </w:r>
      <w:r w:rsidR="003A05C4" w:rsidRPr="00A84F32">
        <w:rPr>
          <w:rFonts w:ascii="Verdana" w:hAnsi="Verdana" w:cs="Times New Roman"/>
          <w:color w:val="auto"/>
          <w:sz w:val="20"/>
          <w:szCs w:val="24"/>
        </w:rPr>
        <w:t xml:space="preserve"> </w:t>
      </w:r>
    </w:p>
    <w:p w:rsidR="00487BBD" w:rsidRPr="00A84F32" w:rsidRDefault="000B3F9E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v</w:t>
      </w:r>
      <w:r w:rsidR="004F3494" w:rsidRPr="00A84F32">
        <w:rPr>
          <w:rFonts w:ascii="Verdana" w:hAnsi="Verdana"/>
          <w:sz w:val="20"/>
        </w:rPr>
        <w:t>ýsledky</w:t>
      </w:r>
      <w:r w:rsidR="00893D49" w:rsidRPr="00A84F32">
        <w:rPr>
          <w:rFonts w:ascii="Verdana" w:hAnsi="Verdana"/>
          <w:sz w:val="20"/>
        </w:rPr>
        <w:t xml:space="preserve"> a zjištění</w:t>
      </w:r>
      <w:r w:rsidR="004F3494" w:rsidRPr="00A84F32">
        <w:rPr>
          <w:rFonts w:ascii="Verdana" w:hAnsi="Verdana"/>
          <w:sz w:val="20"/>
        </w:rPr>
        <w:t xml:space="preserve"> diagnostické a dohlédací činnosti (protokoly z prohlídek), stanovení opotřeb</w:t>
      </w:r>
      <w:r w:rsidR="00893D49" w:rsidRPr="00A84F32">
        <w:rPr>
          <w:rFonts w:ascii="Verdana" w:hAnsi="Verdana"/>
          <w:sz w:val="20"/>
        </w:rPr>
        <w:t xml:space="preserve">ení </w:t>
      </w:r>
      <w:r w:rsidRPr="00A84F32">
        <w:rPr>
          <w:rFonts w:ascii="Verdana" w:hAnsi="Verdana"/>
          <w:sz w:val="20"/>
        </w:rPr>
        <w:t xml:space="preserve">budovy </w:t>
      </w:r>
      <w:r w:rsidR="00893D49" w:rsidRPr="00A84F32">
        <w:rPr>
          <w:rFonts w:ascii="Verdana" w:hAnsi="Verdana"/>
          <w:sz w:val="20"/>
        </w:rPr>
        <w:t>(%)</w:t>
      </w:r>
      <w:r w:rsidR="00C452A9" w:rsidRPr="00A84F32">
        <w:rPr>
          <w:rFonts w:ascii="Verdana" w:hAnsi="Verdana"/>
          <w:sz w:val="20"/>
        </w:rPr>
        <w:t xml:space="preserve"> a životnosti budovy</w:t>
      </w:r>
      <w:r w:rsidRPr="00A84F32">
        <w:rPr>
          <w:rFonts w:ascii="Verdana" w:hAnsi="Verdana"/>
          <w:sz w:val="20"/>
        </w:rPr>
        <w:t>;</w:t>
      </w:r>
    </w:p>
    <w:p w:rsidR="00487BBD" w:rsidRPr="00A84F32" w:rsidRDefault="00082AC7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popis </w:t>
      </w:r>
      <w:r w:rsidR="000B3F9E" w:rsidRPr="00A84F32">
        <w:rPr>
          <w:rFonts w:ascii="Verdana" w:hAnsi="Verdana"/>
          <w:sz w:val="20"/>
        </w:rPr>
        <w:t>s</w:t>
      </w:r>
      <w:r w:rsidR="00C452A9" w:rsidRPr="00A84F32">
        <w:rPr>
          <w:rFonts w:ascii="Verdana" w:hAnsi="Verdana"/>
          <w:sz w:val="20"/>
        </w:rPr>
        <w:t>távající drážní technologie v</w:t>
      </w:r>
      <w:r>
        <w:rPr>
          <w:rFonts w:ascii="Verdana" w:hAnsi="Verdana"/>
          <w:sz w:val="20"/>
        </w:rPr>
        <w:t> </w:t>
      </w:r>
      <w:r w:rsidR="00C452A9" w:rsidRPr="00A84F32">
        <w:rPr>
          <w:rFonts w:ascii="Verdana" w:hAnsi="Verdana"/>
          <w:sz w:val="20"/>
        </w:rPr>
        <w:t>budově</w:t>
      </w:r>
      <w:r>
        <w:rPr>
          <w:rFonts w:ascii="Verdana" w:hAnsi="Verdana"/>
          <w:sz w:val="20"/>
        </w:rPr>
        <w:t xml:space="preserve"> a</w:t>
      </w:r>
      <w:r w:rsidR="00C452A9" w:rsidRPr="00A84F32">
        <w:rPr>
          <w:rFonts w:ascii="Verdana" w:hAnsi="Verdana"/>
          <w:sz w:val="20"/>
        </w:rPr>
        <w:t xml:space="preserve"> </w:t>
      </w:r>
      <w:r w:rsidR="00AD7DEC" w:rsidRPr="00A84F32">
        <w:rPr>
          <w:rFonts w:ascii="Verdana" w:hAnsi="Verdana"/>
          <w:sz w:val="20"/>
        </w:rPr>
        <w:t>omezující</w:t>
      </w:r>
      <w:r>
        <w:rPr>
          <w:rFonts w:ascii="Verdana" w:hAnsi="Verdana"/>
          <w:sz w:val="20"/>
        </w:rPr>
        <w:t>ch</w:t>
      </w:r>
      <w:r w:rsidR="00AD7DEC" w:rsidRPr="00A84F32">
        <w:rPr>
          <w:rFonts w:ascii="Verdana" w:hAnsi="Verdana"/>
          <w:sz w:val="20"/>
        </w:rPr>
        <w:t xml:space="preserve"> provozní</w:t>
      </w:r>
      <w:r>
        <w:rPr>
          <w:rFonts w:ascii="Verdana" w:hAnsi="Verdana"/>
          <w:sz w:val="20"/>
        </w:rPr>
        <w:t>ch</w:t>
      </w:r>
      <w:r w:rsidR="00AD7DEC" w:rsidRPr="00A84F32">
        <w:rPr>
          <w:rFonts w:ascii="Verdana" w:hAnsi="Verdana"/>
          <w:sz w:val="20"/>
        </w:rPr>
        <w:t xml:space="preserve"> podmín</w:t>
      </w:r>
      <w:r>
        <w:rPr>
          <w:rFonts w:ascii="Verdana" w:hAnsi="Verdana"/>
          <w:sz w:val="20"/>
        </w:rPr>
        <w:t>e</w:t>
      </w:r>
      <w:r w:rsidR="00AD7DEC" w:rsidRPr="00A84F32">
        <w:rPr>
          <w:rFonts w:ascii="Verdana" w:hAnsi="Verdana"/>
          <w:sz w:val="20"/>
        </w:rPr>
        <w:t>k technologie pro stavbu</w:t>
      </w:r>
      <w:r w:rsidR="005A78DE" w:rsidRPr="00A84F32">
        <w:rPr>
          <w:rFonts w:ascii="Verdana" w:hAnsi="Verdana"/>
          <w:sz w:val="20"/>
        </w:rPr>
        <w:t>.</w:t>
      </w:r>
    </w:p>
    <w:p w:rsidR="00CA39C4" w:rsidRPr="00A84F32" w:rsidRDefault="00CA39C4" w:rsidP="00876FFD">
      <w:pPr>
        <w:pStyle w:val="Nadpis2"/>
        <w:numPr>
          <w:ilvl w:val="0"/>
          <w:numId w:val="36"/>
        </w:numPr>
        <w:jc w:val="both"/>
        <w:rPr>
          <w:rFonts w:ascii="Verdana" w:hAnsi="Verdana" w:cs="Times New Roman"/>
          <w:color w:val="auto"/>
          <w:sz w:val="20"/>
          <w:szCs w:val="24"/>
        </w:rPr>
      </w:pPr>
      <w:r w:rsidRPr="00A84F32">
        <w:rPr>
          <w:rFonts w:ascii="Verdana" w:hAnsi="Verdana" w:cs="Times New Roman"/>
          <w:color w:val="auto"/>
          <w:sz w:val="20"/>
          <w:szCs w:val="24"/>
        </w:rPr>
        <w:t>Využití budovy a hlavní provozní ukazatele</w:t>
      </w:r>
      <w:r w:rsidR="000B3F9E" w:rsidRPr="00A84F32">
        <w:rPr>
          <w:rFonts w:ascii="Verdana" w:hAnsi="Verdana" w:cs="Times New Roman"/>
          <w:color w:val="auto"/>
          <w:sz w:val="20"/>
          <w:szCs w:val="24"/>
        </w:rPr>
        <w:t>:</w:t>
      </w:r>
    </w:p>
    <w:p w:rsidR="003A05C4" w:rsidRPr="00A84F32" w:rsidRDefault="000B3F9E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b</w:t>
      </w:r>
      <w:r w:rsidR="00CA39C4" w:rsidRPr="00A84F32">
        <w:rPr>
          <w:rFonts w:ascii="Verdana" w:hAnsi="Verdana"/>
          <w:sz w:val="20"/>
        </w:rPr>
        <w:t>arevná s</w:t>
      </w:r>
      <w:r w:rsidR="003A05C4" w:rsidRPr="00A84F32">
        <w:rPr>
          <w:rFonts w:ascii="Verdana" w:hAnsi="Verdana"/>
          <w:sz w:val="20"/>
        </w:rPr>
        <w:t>chéma podlahových ploch s vyznačením jejich velikosti a využití</w:t>
      </w:r>
      <w:r w:rsidR="00EF5CF8" w:rsidRPr="00A84F32">
        <w:rPr>
          <w:rFonts w:ascii="Verdana" w:hAnsi="Verdana"/>
          <w:sz w:val="20"/>
        </w:rPr>
        <w:t>. Jednotliv</w:t>
      </w:r>
      <w:r w:rsidR="00082AC7">
        <w:rPr>
          <w:rFonts w:ascii="Verdana" w:hAnsi="Verdana"/>
          <w:sz w:val="20"/>
        </w:rPr>
        <w:t>á</w:t>
      </w:r>
      <w:r w:rsidR="00EF5CF8" w:rsidRPr="00A84F32">
        <w:rPr>
          <w:rFonts w:ascii="Verdana" w:hAnsi="Verdana"/>
          <w:sz w:val="20"/>
        </w:rPr>
        <w:t xml:space="preserve"> schémata budou vždy obsahovat tabulku místností a barevnou legendu</w:t>
      </w:r>
      <w:r w:rsidR="00452114" w:rsidRPr="00A84F32">
        <w:rPr>
          <w:rFonts w:ascii="Verdana" w:hAnsi="Verdana"/>
          <w:sz w:val="20"/>
        </w:rPr>
        <w:t>;</w:t>
      </w:r>
    </w:p>
    <w:p w:rsidR="00CA39C4" w:rsidRPr="00A84F32" w:rsidRDefault="000B3F9E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t</w:t>
      </w:r>
      <w:r w:rsidR="00CA39C4" w:rsidRPr="00A84F32">
        <w:rPr>
          <w:rFonts w:ascii="Verdana" w:hAnsi="Verdana"/>
          <w:sz w:val="20"/>
        </w:rPr>
        <w:t>abelární přehled stávajícího (</w:t>
      </w:r>
      <w:proofErr w:type="spellStart"/>
      <w:r w:rsidR="00CA39C4" w:rsidRPr="00A84F32">
        <w:rPr>
          <w:rFonts w:ascii="Verdana" w:hAnsi="Verdana"/>
          <w:sz w:val="20"/>
        </w:rPr>
        <w:t>bezprojektového</w:t>
      </w:r>
      <w:proofErr w:type="spellEnd"/>
      <w:r w:rsidR="00CA39C4" w:rsidRPr="00A84F32">
        <w:rPr>
          <w:rFonts w:ascii="Verdana" w:hAnsi="Verdana"/>
          <w:sz w:val="20"/>
        </w:rPr>
        <w:t xml:space="preserve">) stavu využití prostor (plocha, využití, </w:t>
      </w:r>
      <w:r w:rsidR="0097261A" w:rsidRPr="00A84F32">
        <w:rPr>
          <w:rFonts w:ascii="Verdana" w:hAnsi="Verdana"/>
          <w:sz w:val="20"/>
        </w:rPr>
        <w:t>výše nájemného za m</w:t>
      </w:r>
      <w:r w:rsidR="0097261A" w:rsidRPr="00A84F32">
        <w:rPr>
          <w:rFonts w:ascii="Verdana" w:hAnsi="Verdana"/>
          <w:sz w:val="20"/>
          <w:vertAlign w:val="superscript"/>
        </w:rPr>
        <w:t>2</w:t>
      </w:r>
      <w:r w:rsidR="0097261A" w:rsidRPr="00A84F32">
        <w:rPr>
          <w:rFonts w:ascii="Verdana" w:hAnsi="Verdana"/>
          <w:sz w:val="20"/>
        </w:rPr>
        <w:t xml:space="preserve">/rok, </w:t>
      </w:r>
      <w:r w:rsidR="00CA39C4" w:rsidRPr="00A84F32">
        <w:rPr>
          <w:rFonts w:ascii="Verdana" w:hAnsi="Verdana"/>
          <w:sz w:val="20"/>
        </w:rPr>
        <w:t>výnosy z</w:t>
      </w:r>
      <w:r w:rsidR="0097261A" w:rsidRPr="00A84F32">
        <w:rPr>
          <w:rFonts w:ascii="Verdana" w:hAnsi="Verdana"/>
          <w:sz w:val="20"/>
        </w:rPr>
        <w:t xml:space="preserve"> jednotlivých </w:t>
      </w:r>
      <w:r w:rsidR="00CA39C4" w:rsidRPr="00A84F32">
        <w:rPr>
          <w:rFonts w:ascii="Verdana" w:hAnsi="Verdana"/>
          <w:sz w:val="20"/>
        </w:rPr>
        <w:t>prostor, výše provozních nákladů (vytápění, voda, elektrická energie, úklid) a</w:t>
      </w:r>
      <w:r w:rsidR="00D110A4">
        <w:rPr>
          <w:rFonts w:ascii="Verdana" w:hAnsi="Verdana"/>
          <w:sz w:val="20"/>
        </w:rPr>
        <w:t> </w:t>
      </w:r>
      <w:r w:rsidR="00CA39C4" w:rsidRPr="00A84F32">
        <w:rPr>
          <w:rFonts w:ascii="Verdana" w:hAnsi="Verdana"/>
          <w:sz w:val="20"/>
        </w:rPr>
        <w:t>periodických nákladů (pravidelná údržba, průběžné opravy, pravidelné revize)</w:t>
      </w:r>
      <w:r w:rsidR="00452114" w:rsidRPr="00A84F32">
        <w:rPr>
          <w:rFonts w:ascii="Verdana" w:hAnsi="Verdana"/>
          <w:sz w:val="20"/>
        </w:rPr>
        <w:t>;</w:t>
      </w:r>
      <w:r w:rsidR="00CA39C4" w:rsidRPr="00A84F32">
        <w:rPr>
          <w:rFonts w:ascii="Verdana" w:hAnsi="Verdana"/>
          <w:sz w:val="20"/>
        </w:rPr>
        <w:t xml:space="preserve"> </w:t>
      </w:r>
    </w:p>
    <w:p w:rsidR="0097261A" w:rsidRPr="00A84F32" w:rsidRDefault="000B3F9E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p</w:t>
      </w:r>
      <w:r w:rsidR="0097261A" w:rsidRPr="00A84F32">
        <w:rPr>
          <w:rFonts w:ascii="Verdana" w:hAnsi="Verdana"/>
          <w:sz w:val="20"/>
        </w:rPr>
        <w:t>rocentuální využití budovy po jednotlivých funkčních celcích</w:t>
      </w:r>
      <w:r w:rsidRPr="00A84F32">
        <w:rPr>
          <w:rFonts w:ascii="Verdana" w:hAnsi="Verdana"/>
          <w:sz w:val="20"/>
        </w:rPr>
        <w:t>.</w:t>
      </w:r>
    </w:p>
    <w:p w:rsidR="00487BBD" w:rsidRPr="00082AC7" w:rsidRDefault="0097261A" w:rsidP="00082AC7">
      <w:pPr>
        <w:suppressAutoHyphens/>
        <w:spacing w:after="120"/>
        <w:jc w:val="both"/>
        <w:rPr>
          <w:rFonts w:ascii="Verdana" w:hAnsi="Verdana"/>
          <w:i/>
          <w:sz w:val="20"/>
          <w:shd w:val="clear" w:color="auto" w:fill="DEEAF6" w:themeFill="accent1" w:themeFillTint="33"/>
        </w:rPr>
      </w:pPr>
      <w:r w:rsidRPr="00082AC7">
        <w:rPr>
          <w:rFonts w:ascii="Verdana" w:hAnsi="Verdana"/>
          <w:i/>
          <w:sz w:val="20"/>
          <w:shd w:val="clear" w:color="auto" w:fill="DEEAF6" w:themeFill="accent1" w:themeFillTint="33"/>
        </w:rPr>
        <w:t>Legenda barev</w:t>
      </w:r>
      <w:r w:rsidR="000324A3" w:rsidRPr="00082AC7">
        <w:rPr>
          <w:rFonts w:ascii="Verdana" w:hAnsi="Verdana"/>
          <w:i/>
          <w:sz w:val="20"/>
          <w:shd w:val="clear" w:color="auto" w:fill="DEEAF6" w:themeFill="accent1" w:themeFillTint="33"/>
        </w:rPr>
        <w:t xml:space="preserve"> dle</w:t>
      </w:r>
      <w:r w:rsidR="00492077" w:rsidRPr="00082AC7">
        <w:rPr>
          <w:rFonts w:ascii="Verdana" w:hAnsi="Verdana"/>
          <w:i/>
          <w:sz w:val="20"/>
          <w:shd w:val="clear" w:color="auto" w:fill="DEEAF6" w:themeFill="accent1" w:themeFillTint="33"/>
        </w:rPr>
        <w:t xml:space="preserve"> </w:t>
      </w:r>
      <w:r w:rsidR="00633BA0" w:rsidRPr="00082AC7">
        <w:rPr>
          <w:rFonts w:ascii="Verdana" w:hAnsi="Verdana"/>
          <w:i/>
          <w:sz w:val="20"/>
          <w:shd w:val="clear" w:color="auto" w:fill="DEEAF6" w:themeFill="accent1" w:themeFillTint="33"/>
        </w:rPr>
        <w:t>„</w:t>
      </w:r>
      <w:r w:rsidR="00492077" w:rsidRPr="00082AC7">
        <w:rPr>
          <w:rFonts w:ascii="Verdana" w:hAnsi="Verdana"/>
          <w:i/>
          <w:sz w:val="20"/>
          <w:shd w:val="clear" w:color="auto" w:fill="DEEAF6" w:themeFill="accent1" w:themeFillTint="33"/>
        </w:rPr>
        <w:t xml:space="preserve">Návrhu barevného rozlišení při projektování </w:t>
      </w:r>
      <w:r w:rsidR="00880E7F" w:rsidRPr="00082AC7">
        <w:rPr>
          <w:rFonts w:ascii="Verdana" w:hAnsi="Verdana"/>
          <w:i/>
          <w:sz w:val="20"/>
          <w:shd w:val="clear" w:color="auto" w:fill="DEEAF6" w:themeFill="accent1" w:themeFillTint="33"/>
        </w:rPr>
        <w:t>ON po funkčních celcích</w:t>
      </w:r>
      <w:r w:rsidR="00633BA0" w:rsidRPr="00082AC7">
        <w:rPr>
          <w:rFonts w:ascii="Verdana" w:hAnsi="Verdana"/>
          <w:i/>
          <w:sz w:val="20"/>
          <w:shd w:val="clear" w:color="auto" w:fill="DEEAF6" w:themeFill="accent1" w:themeFillTint="33"/>
        </w:rPr>
        <w:t>“</w:t>
      </w:r>
      <w:r w:rsidR="00082AC7">
        <w:rPr>
          <w:rFonts w:ascii="Verdana" w:hAnsi="Verdana"/>
          <w:i/>
          <w:sz w:val="20"/>
          <w:shd w:val="clear" w:color="auto" w:fill="DEEAF6" w:themeFill="accent1" w:themeFillTint="33"/>
        </w:rPr>
        <w:t xml:space="preserve">, tabelární přehledy dle samostatné </w:t>
      </w:r>
      <w:proofErr w:type="spellStart"/>
      <w:r w:rsidR="00082AC7">
        <w:rPr>
          <w:rFonts w:ascii="Verdana" w:hAnsi="Verdana"/>
          <w:i/>
          <w:sz w:val="20"/>
          <w:shd w:val="clear" w:color="auto" w:fill="DEEAF6" w:themeFill="accent1" w:themeFillTint="33"/>
        </w:rPr>
        <w:t>xls</w:t>
      </w:r>
      <w:proofErr w:type="spellEnd"/>
      <w:r w:rsidR="00082AC7">
        <w:rPr>
          <w:rFonts w:ascii="Verdana" w:hAnsi="Verdana"/>
          <w:i/>
          <w:sz w:val="20"/>
          <w:shd w:val="clear" w:color="auto" w:fill="DEEAF6" w:themeFill="accent1" w:themeFillTint="33"/>
        </w:rPr>
        <w:t>. přílohy</w:t>
      </w:r>
      <w:r w:rsidR="00EE3DE7" w:rsidRPr="00082AC7">
        <w:rPr>
          <w:rFonts w:ascii="Verdana" w:hAnsi="Verdana"/>
          <w:i/>
          <w:sz w:val="20"/>
          <w:shd w:val="clear" w:color="auto" w:fill="DEEAF6" w:themeFill="accent1" w:themeFillTint="33"/>
        </w:rPr>
        <w:t>:</w:t>
      </w:r>
      <w:r w:rsidR="00492077" w:rsidRPr="00082AC7">
        <w:rPr>
          <w:rFonts w:ascii="Verdana" w:hAnsi="Verdana"/>
          <w:i/>
          <w:sz w:val="20"/>
          <w:shd w:val="clear" w:color="auto" w:fill="DEEAF6" w:themeFill="accent1" w:themeFillTint="33"/>
        </w:rPr>
        <w:t xml:space="preserve"> </w:t>
      </w:r>
    </w:p>
    <w:p w:rsidR="007B3886" w:rsidRPr="00A84F32" w:rsidRDefault="007B3886" w:rsidP="00550C1A">
      <w:pPr>
        <w:suppressAutoHyphens/>
        <w:spacing w:after="120"/>
        <w:jc w:val="both"/>
        <w:rPr>
          <w:rFonts w:ascii="Verdana" w:hAnsi="Verdana"/>
          <w:i/>
          <w:sz w:val="20"/>
        </w:rPr>
      </w:pPr>
    </w:p>
    <w:p w:rsidR="00001527" w:rsidRPr="00A84F32" w:rsidRDefault="00880E7F" w:rsidP="00550C1A">
      <w:pPr>
        <w:suppressAutoHyphens/>
        <w:spacing w:after="120"/>
        <w:jc w:val="both"/>
        <w:rPr>
          <w:rFonts w:ascii="Verdana" w:hAnsi="Verdana"/>
          <w:i/>
          <w:sz w:val="18"/>
          <w:szCs w:val="22"/>
        </w:rPr>
      </w:pPr>
      <w:proofErr w:type="spellStart"/>
      <w:r w:rsidRPr="00A84F32">
        <w:rPr>
          <w:rFonts w:ascii="Verdana" w:hAnsi="Verdana"/>
          <w:i/>
          <w:sz w:val="20"/>
        </w:rPr>
        <w:t>Pozn</w:t>
      </w:r>
      <w:proofErr w:type="spellEnd"/>
      <w:r w:rsidRPr="00A84F32">
        <w:rPr>
          <w:rFonts w:ascii="Verdana" w:hAnsi="Verdana"/>
          <w:i/>
          <w:sz w:val="20"/>
        </w:rPr>
        <w:t xml:space="preserve">: </w:t>
      </w:r>
      <w:r w:rsidRPr="00082AC7">
        <w:rPr>
          <w:rFonts w:ascii="Verdana" w:hAnsi="Verdana"/>
          <w:b/>
          <w:i/>
          <w:sz w:val="20"/>
        </w:rPr>
        <w:t>p</w:t>
      </w:r>
      <w:r w:rsidR="00001527" w:rsidRPr="00082AC7">
        <w:rPr>
          <w:rFonts w:ascii="Verdana" w:hAnsi="Verdana"/>
          <w:b/>
          <w:i/>
          <w:sz w:val="20"/>
        </w:rPr>
        <w:t>rovozní náklady</w:t>
      </w:r>
      <w:r w:rsidR="00001527" w:rsidRPr="00A84F32">
        <w:rPr>
          <w:rFonts w:ascii="Verdana" w:hAnsi="Verdana"/>
          <w:i/>
          <w:sz w:val="20"/>
        </w:rPr>
        <w:t xml:space="preserve"> za</w:t>
      </w:r>
      <w:r w:rsidR="00001527" w:rsidRPr="00A84F32">
        <w:rPr>
          <w:rFonts w:ascii="Verdana" w:hAnsi="Verdana"/>
          <w:i/>
          <w:sz w:val="18"/>
          <w:szCs w:val="22"/>
        </w:rPr>
        <w:t xml:space="preserve"> pronajaté prostory včetně příslušné části společných prostor využívaných nájemci neuvádíme – tyt</w:t>
      </w:r>
      <w:r w:rsidR="00082AC7">
        <w:rPr>
          <w:rFonts w:ascii="Verdana" w:hAnsi="Verdana"/>
          <w:i/>
          <w:sz w:val="18"/>
          <w:szCs w:val="22"/>
        </w:rPr>
        <w:t xml:space="preserve">o jsou nájemců </w:t>
      </w:r>
      <w:proofErr w:type="spellStart"/>
      <w:r w:rsidR="00082AC7">
        <w:rPr>
          <w:rFonts w:ascii="Verdana" w:hAnsi="Verdana"/>
          <w:i/>
          <w:sz w:val="18"/>
          <w:szCs w:val="22"/>
        </w:rPr>
        <w:t>přefakturovávány</w:t>
      </w:r>
      <w:proofErr w:type="spellEnd"/>
      <w:r w:rsidR="00082AC7">
        <w:rPr>
          <w:rFonts w:ascii="Verdana" w:hAnsi="Verdana"/>
          <w:i/>
          <w:sz w:val="18"/>
          <w:szCs w:val="22"/>
        </w:rPr>
        <w:t>, uvádí se provozní (a periodické) náklady za prostory, které skutečně využívá provozovatel.</w:t>
      </w:r>
    </w:p>
    <w:p w:rsidR="00487BBD" w:rsidRPr="00A84F32" w:rsidRDefault="00487BBD" w:rsidP="00876FFD">
      <w:pPr>
        <w:pStyle w:val="Nadpis1"/>
        <w:numPr>
          <w:ilvl w:val="0"/>
          <w:numId w:val="36"/>
        </w:numPr>
        <w:jc w:val="both"/>
        <w:rPr>
          <w:rFonts w:ascii="Verdana" w:hAnsi="Verdana" w:cs="Times New Roman"/>
          <w:color w:val="auto"/>
          <w:sz w:val="20"/>
          <w:szCs w:val="24"/>
        </w:rPr>
      </w:pPr>
      <w:r w:rsidRPr="00A84F32">
        <w:rPr>
          <w:rFonts w:ascii="Verdana" w:hAnsi="Verdana" w:cs="Times New Roman"/>
          <w:color w:val="auto"/>
          <w:sz w:val="20"/>
          <w:szCs w:val="24"/>
        </w:rPr>
        <w:t>Zdůvodnění nezbytnosti realizace investice</w:t>
      </w:r>
      <w:r w:rsidR="00D0647C" w:rsidRPr="00A84F32">
        <w:rPr>
          <w:rFonts w:ascii="Verdana" w:hAnsi="Verdana" w:cs="Times New Roman"/>
          <w:color w:val="auto"/>
          <w:sz w:val="20"/>
          <w:szCs w:val="24"/>
        </w:rPr>
        <w:t>:</w:t>
      </w:r>
    </w:p>
    <w:p w:rsidR="005A78DE" w:rsidRPr="00A84F32" w:rsidRDefault="00D0647C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k</w:t>
      </w:r>
      <w:r w:rsidR="005A78DE" w:rsidRPr="00A84F32">
        <w:rPr>
          <w:rFonts w:ascii="Verdana" w:hAnsi="Verdana"/>
          <w:sz w:val="20"/>
        </w:rPr>
        <w:t>onkrétní zdůvodnění, jaké problémy investicí řešíme, hlavních cíle, kterých má být dosaženo</w:t>
      </w:r>
      <w:r w:rsidR="00452114" w:rsidRPr="00A84F32">
        <w:rPr>
          <w:rFonts w:ascii="Verdana" w:hAnsi="Verdana"/>
          <w:sz w:val="20"/>
        </w:rPr>
        <w:t>;</w:t>
      </w:r>
    </w:p>
    <w:p w:rsidR="008A5EA5" w:rsidRPr="00A84F32" w:rsidRDefault="00082AC7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 xml:space="preserve">stručný popis a </w:t>
      </w:r>
      <w:r w:rsidR="00D0647C" w:rsidRPr="00A84F32">
        <w:rPr>
          <w:rFonts w:ascii="Verdana" w:hAnsi="Verdana"/>
          <w:sz w:val="20"/>
        </w:rPr>
        <w:t>p</w:t>
      </w:r>
      <w:r w:rsidR="002E6B01" w:rsidRPr="00A84F32">
        <w:rPr>
          <w:rFonts w:ascii="Verdana" w:hAnsi="Verdana"/>
          <w:sz w:val="20"/>
        </w:rPr>
        <w:t>orovnání variantních řešení (kompletní oprava, kompletní rekonstrukce, částečná demolice, kompletní demolice s novostavbou na původním místě, demolice a novostavba na jiném místě)</w:t>
      </w:r>
      <w:r w:rsidR="00452114" w:rsidRPr="00A84F32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Podrobně jsou jednotlivé varianty řešeny a hodnoceny v rámci ekonomického hodnocení</w:t>
      </w:r>
    </w:p>
    <w:p w:rsidR="008A5EA5" w:rsidRPr="00A84F32" w:rsidRDefault="008A5EA5">
      <w:pPr>
        <w:spacing w:after="160" w:line="259" w:lineRule="auto"/>
        <w:rPr>
          <w:rFonts w:ascii="Verdana" w:hAnsi="Verdana"/>
          <w:sz w:val="20"/>
        </w:rPr>
      </w:pPr>
    </w:p>
    <w:p w:rsidR="00AA7A4E" w:rsidRDefault="00AA7A4E">
      <w:pPr>
        <w:spacing w:after="160" w:line="259" w:lineRule="auto"/>
        <w:rPr>
          <w:rFonts w:ascii="Verdana" w:hAnsi="Verdana"/>
          <w:b/>
          <w:sz w:val="20"/>
          <w:u w:val="single"/>
        </w:rPr>
      </w:pPr>
    </w:p>
    <w:p w:rsidR="007270D5" w:rsidRPr="00A84F32" w:rsidRDefault="007270D5" w:rsidP="00550C1A">
      <w:pPr>
        <w:jc w:val="both"/>
        <w:rPr>
          <w:rFonts w:ascii="Verdana" w:hAnsi="Verdana"/>
          <w:b/>
          <w:sz w:val="20"/>
          <w:u w:val="single"/>
        </w:rPr>
      </w:pPr>
      <w:r w:rsidRPr="00A84F32">
        <w:rPr>
          <w:rFonts w:ascii="Verdana" w:hAnsi="Verdana"/>
          <w:b/>
          <w:sz w:val="20"/>
          <w:u w:val="single"/>
        </w:rPr>
        <w:t xml:space="preserve">Kapitola 4 – „Požadavky na technické řešení“ </w:t>
      </w:r>
      <w:r w:rsidR="008A1692" w:rsidRPr="00A84F32">
        <w:rPr>
          <w:rFonts w:ascii="Verdana" w:hAnsi="Verdana"/>
          <w:b/>
          <w:sz w:val="20"/>
          <w:u w:val="single"/>
        </w:rPr>
        <w:t>bude</w:t>
      </w:r>
      <w:r w:rsidRPr="00A84F32">
        <w:rPr>
          <w:rFonts w:ascii="Verdana" w:hAnsi="Verdana"/>
          <w:b/>
          <w:sz w:val="20"/>
          <w:u w:val="single"/>
        </w:rPr>
        <w:t xml:space="preserve"> obsahovat:</w:t>
      </w:r>
    </w:p>
    <w:p w:rsidR="00C94028" w:rsidRPr="00A84F32" w:rsidRDefault="000A0B37" w:rsidP="00550C1A">
      <w:pPr>
        <w:pStyle w:val="Nadpis2"/>
        <w:numPr>
          <w:ilvl w:val="0"/>
          <w:numId w:val="34"/>
        </w:numPr>
        <w:jc w:val="both"/>
        <w:rPr>
          <w:rFonts w:ascii="Verdana" w:hAnsi="Verdana" w:cs="Times New Roman"/>
          <w:color w:val="auto"/>
          <w:sz w:val="20"/>
          <w:szCs w:val="24"/>
        </w:rPr>
      </w:pPr>
      <w:r w:rsidRPr="00A84F32">
        <w:rPr>
          <w:rFonts w:ascii="Verdana" w:hAnsi="Verdana" w:cs="Times New Roman"/>
          <w:color w:val="auto"/>
          <w:sz w:val="20"/>
          <w:szCs w:val="24"/>
        </w:rPr>
        <w:t>Popis navrhovaného stavu</w:t>
      </w:r>
    </w:p>
    <w:p w:rsidR="002E6B01" w:rsidRPr="00A84F32" w:rsidRDefault="00D0647C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s</w:t>
      </w:r>
      <w:r w:rsidR="009B7FE5" w:rsidRPr="00A84F32">
        <w:rPr>
          <w:rFonts w:ascii="Verdana" w:hAnsi="Verdana"/>
          <w:sz w:val="20"/>
        </w:rPr>
        <w:t>tručný popis hlavních stavebních prací</w:t>
      </w:r>
      <w:r w:rsidR="002E6B01" w:rsidRPr="00A84F32">
        <w:rPr>
          <w:rFonts w:ascii="Verdana" w:hAnsi="Verdana"/>
          <w:sz w:val="20"/>
        </w:rPr>
        <w:t xml:space="preserve"> (</w:t>
      </w:r>
      <w:r w:rsidR="007270D5" w:rsidRPr="00A84F32">
        <w:rPr>
          <w:rFonts w:ascii="Verdana" w:hAnsi="Verdana"/>
          <w:sz w:val="20"/>
        </w:rPr>
        <w:t>r</w:t>
      </w:r>
      <w:r w:rsidR="002304FE" w:rsidRPr="00A84F32">
        <w:rPr>
          <w:rFonts w:ascii="Verdana" w:hAnsi="Verdana"/>
          <w:sz w:val="20"/>
        </w:rPr>
        <w:t>ozsah stavebních prací pro</w:t>
      </w:r>
      <w:r w:rsidR="00D110A4">
        <w:rPr>
          <w:rFonts w:ascii="Verdana" w:hAnsi="Verdana"/>
          <w:sz w:val="20"/>
        </w:rPr>
        <w:t> </w:t>
      </w:r>
      <w:r w:rsidR="002304FE" w:rsidRPr="00A84F32">
        <w:rPr>
          <w:rFonts w:ascii="Verdana" w:hAnsi="Verdana"/>
          <w:sz w:val="20"/>
        </w:rPr>
        <w:t>jednotlivé typy prostor musí být vždy v souladu s koncepčním řešením „</w:t>
      </w:r>
      <w:r w:rsidR="00381B09" w:rsidRPr="00A84F32">
        <w:rPr>
          <w:rFonts w:ascii="Verdana" w:hAnsi="Verdana"/>
          <w:sz w:val="20"/>
        </w:rPr>
        <w:t>Z</w:t>
      </w:r>
      <w:r w:rsidR="002304FE" w:rsidRPr="00A84F32">
        <w:rPr>
          <w:rFonts w:ascii="Verdana" w:hAnsi="Verdana"/>
          <w:sz w:val="20"/>
        </w:rPr>
        <w:t>ákladní stavební připravenost</w:t>
      </w:r>
      <w:r w:rsidR="008472AD" w:rsidRPr="00A84F32">
        <w:rPr>
          <w:rFonts w:ascii="Verdana" w:hAnsi="Verdana"/>
          <w:sz w:val="20"/>
        </w:rPr>
        <w:t>i</w:t>
      </w:r>
      <w:r w:rsidR="002304FE" w:rsidRPr="00A84F32">
        <w:rPr>
          <w:rFonts w:ascii="Verdana" w:hAnsi="Verdana"/>
          <w:sz w:val="20"/>
        </w:rPr>
        <w:t>“</w:t>
      </w:r>
      <w:r w:rsidRPr="00A84F32">
        <w:rPr>
          <w:rFonts w:ascii="Verdana" w:hAnsi="Verdana"/>
          <w:sz w:val="20"/>
        </w:rPr>
        <w:t>;</w:t>
      </w:r>
    </w:p>
    <w:p w:rsidR="009B7FE5" w:rsidRPr="00A84F32" w:rsidRDefault="00D0647C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v</w:t>
      </w:r>
      <w:r w:rsidR="009B7FE5" w:rsidRPr="00A84F32">
        <w:rPr>
          <w:rFonts w:ascii="Verdana" w:hAnsi="Verdana"/>
          <w:sz w:val="20"/>
        </w:rPr>
        <w:t>liv investice na stávající technologie</w:t>
      </w:r>
      <w:r w:rsidRPr="00A84F32">
        <w:rPr>
          <w:rFonts w:ascii="Verdana" w:hAnsi="Verdana"/>
          <w:sz w:val="20"/>
        </w:rPr>
        <w:t>;</w:t>
      </w:r>
    </w:p>
    <w:p w:rsidR="00F43707" w:rsidRPr="00D916A7" w:rsidRDefault="00D0647C" w:rsidP="00550C1A">
      <w:pPr>
        <w:pStyle w:val="Odstavecseseznamem"/>
        <w:numPr>
          <w:ilvl w:val="0"/>
          <w:numId w:val="32"/>
        </w:numPr>
        <w:jc w:val="both"/>
        <w:rPr>
          <w:rFonts w:ascii="Verdana" w:hAnsi="Verdana"/>
          <w:sz w:val="20"/>
          <w:szCs w:val="20"/>
        </w:rPr>
      </w:pPr>
      <w:r w:rsidRPr="00A84F32">
        <w:rPr>
          <w:rFonts w:ascii="Verdana" w:hAnsi="Verdana"/>
          <w:sz w:val="20"/>
        </w:rPr>
        <w:t>v</w:t>
      </w:r>
      <w:r w:rsidR="00F43707" w:rsidRPr="00A84F32">
        <w:rPr>
          <w:rFonts w:ascii="Verdana" w:hAnsi="Verdana"/>
          <w:sz w:val="20"/>
        </w:rPr>
        <w:t>liv na navazující dopravní infrastrukturu</w:t>
      </w:r>
      <w:r w:rsidR="00EA68F7" w:rsidRPr="00A84F32">
        <w:rPr>
          <w:rFonts w:ascii="Verdana" w:hAnsi="Verdana"/>
          <w:sz w:val="20"/>
        </w:rPr>
        <w:t xml:space="preserve"> (konkrétní popis </w:t>
      </w:r>
      <w:r w:rsidR="000B3F9E" w:rsidRPr="00A84F32">
        <w:rPr>
          <w:rFonts w:ascii="Verdana" w:hAnsi="Verdana"/>
          <w:sz w:val="20"/>
        </w:rPr>
        <w:t xml:space="preserve">dimenze navazující infrastruktury, tj. </w:t>
      </w:r>
      <w:r w:rsidR="00EA68F7" w:rsidRPr="00A84F32">
        <w:rPr>
          <w:rFonts w:ascii="Verdana" w:hAnsi="Verdana"/>
          <w:sz w:val="20"/>
        </w:rPr>
        <w:t>o kolik parkovacích míst a proč navyšujeme stávající stav</w:t>
      </w:r>
      <w:r w:rsidR="002D18BD" w:rsidRPr="00A84F32">
        <w:rPr>
          <w:rFonts w:ascii="Verdana" w:hAnsi="Verdana"/>
          <w:sz w:val="20"/>
        </w:rPr>
        <w:t xml:space="preserve"> – IAD, státní pro kola</w:t>
      </w:r>
      <w:r w:rsidR="00EA68F7" w:rsidRPr="00A84F32">
        <w:rPr>
          <w:rFonts w:ascii="Verdana" w:hAnsi="Verdana"/>
          <w:sz w:val="20"/>
        </w:rPr>
        <w:t>)</w:t>
      </w:r>
      <w:r w:rsidRPr="00A84F32">
        <w:rPr>
          <w:rFonts w:ascii="Verdana" w:hAnsi="Verdana"/>
          <w:sz w:val="20"/>
        </w:rPr>
        <w:t>.</w:t>
      </w:r>
      <w:r w:rsidR="00D916A7">
        <w:rPr>
          <w:rFonts w:ascii="Verdana" w:hAnsi="Verdana"/>
          <w:sz w:val="20"/>
        </w:rPr>
        <w:t xml:space="preserve"> </w:t>
      </w:r>
      <w:r w:rsidR="00D916A7" w:rsidRPr="00D916A7">
        <w:rPr>
          <w:rFonts w:ascii="Verdana" w:hAnsi="Verdana"/>
          <w:sz w:val="20"/>
          <w:szCs w:val="20"/>
        </w:rPr>
        <w:t xml:space="preserve">V případě počtu parkovacích stání bude ZP vždy obsahovat </w:t>
      </w:r>
      <w:r w:rsidR="00D916A7" w:rsidRPr="00082AC7">
        <w:rPr>
          <w:rFonts w:ascii="Verdana" w:hAnsi="Verdana"/>
          <w:sz w:val="20"/>
          <w:szCs w:val="20"/>
        </w:rPr>
        <w:t xml:space="preserve">vyčíslení potřebných počtů parkovacích stání u výpravní budovy a to v souladu s bodem </w:t>
      </w:r>
      <w:proofErr w:type="gramStart"/>
      <w:r w:rsidR="00D916A7" w:rsidRPr="00082AC7">
        <w:rPr>
          <w:rFonts w:ascii="Verdana" w:hAnsi="Verdana"/>
          <w:sz w:val="20"/>
          <w:szCs w:val="20"/>
        </w:rPr>
        <w:t>14.1.17</w:t>
      </w:r>
      <w:proofErr w:type="gramEnd"/>
      <w:r w:rsidR="00D916A7" w:rsidRPr="00082AC7">
        <w:rPr>
          <w:rFonts w:ascii="Verdana" w:hAnsi="Verdana"/>
          <w:sz w:val="20"/>
          <w:szCs w:val="20"/>
        </w:rPr>
        <w:t xml:space="preserve"> platné normy ČSN 73 6110</w:t>
      </w:r>
      <w:r w:rsidR="00D916A7" w:rsidRPr="00D916A7">
        <w:rPr>
          <w:rFonts w:ascii="Verdana" w:hAnsi="Verdana"/>
          <w:sz w:val="20"/>
          <w:szCs w:val="20"/>
        </w:rPr>
        <w:t xml:space="preserve">. U parkovacích státní pro jízdní kola vždy uvést do ZP </w:t>
      </w:r>
      <w:r w:rsidR="00D916A7" w:rsidRPr="00082AC7">
        <w:rPr>
          <w:rFonts w:ascii="Verdana" w:hAnsi="Verdana"/>
          <w:sz w:val="20"/>
          <w:szCs w:val="20"/>
        </w:rPr>
        <w:t>informaci zda budou v souladu s doporučením z bodu 10.4.2.6 normy ČSN u výpravní budovy parkovací stání typu B+R zastřešena a vybavena zajištěním proti odcizení</w:t>
      </w:r>
    </w:p>
    <w:p w:rsidR="002E6B01" w:rsidRPr="00A84F32" w:rsidRDefault="002E6B01" w:rsidP="00550C1A">
      <w:pPr>
        <w:pStyle w:val="Nadpis2"/>
        <w:numPr>
          <w:ilvl w:val="0"/>
          <w:numId w:val="34"/>
        </w:numPr>
        <w:jc w:val="both"/>
        <w:rPr>
          <w:rFonts w:ascii="Verdana" w:hAnsi="Verdana" w:cs="Times New Roman"/>
          <w:color w:val="auto"/>
          <w:sz w:val="20"/>
          <w:szCs w:val="24"/>
        </w:rPr>
      </w:pPr>
      <w:r w:rsidRPr="00A84F32">
        <w:rPr>
          <w:rFonts w:ascii="Verdana" w:hAnsi="Verdana" w:cs="Times New Roman"/>
          <w:color w:val="auto"/>
          <w:sz w:val="20"/>
          <w:szCs w:val="24"/>
        </w:rPr>
        <w:t>Využití budovy a hlavní provozní ukazatele v projektovém (novém stavu)</w:t>
      </w:r>
      <w:r w:rsidR="00D0647C" w:rsidRPr="00A84F32">
        <w:rPr>
          <w:rFonts w:ascii="Verdana" w:hAnsi="Verdana" w:cs="Times New Roman"/>
          <w:color w:val="auto"/>
          <w:sz w:val="20"/>
          <w:szCs w:val="24"/>
        </w:rPr>
        <w:t>:</w:t>
      </w:r>
      <w:r w:rsidRPr="00A84F32">
        <w:rPr>
          <w:rFonts w:ascii="Verdana" w:hAnsi="Verdana" w:cs="Times New Roman"/>
          <w:color w:val="auto"/>
          <w:sz w:val="20"/>
          <w:szCs w:val="24"/>
        </w:rPr>
        <w:t xml:space="preserve"> </w:t>
      </w:r>
    </w:p>
    <w:p w:rsidR="002E6B01" w:rsidRDefault="005348D5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p</w:t>
      </w:r>
      <w:r w:rsidR="0093221F" w:rsidRPr="00A84F32">
        <w:rPr>
          <w:rFonts w:ascii="Verdana" w:hAnsi="Verdana"/>
          <w:sz w:val="20"/>
        </w:rPr>
        <w:t>opis nového využití budovy ON včetně odůvodnění tohoto využití. Po</w:t>
      </w:r>
      <w:r w:rsidR="002D4F75" w:rsidRPr="00A84F32">
        <w:rPr>
          <w:rFonts w:ascii="Verdana" w:hAnsi="Verdana"/>
          <w:sz w:val="20"/>
        </w:rPr>
        <w:t> </w:t>
      </w:r>
      <w:r w:rsidR="0093221F" w:rsidRPr="00A84F32">
        <w:rPr>
          <w:rFonts w:ascii="Verdana" w:hAnsi="Verdana"/>
          <w:sz w:val="20"/>
        </w:rPr>
        <w:t>vyřešení požadavků provozovatele dráhy, dopravců a dalších OJ</w:t>
      </w:r>
      <w:r w:rsidR="00144D63" w:rsidRPr="00A84F32">
        <w:rPr>
          <w:rFonts w:ascii="Verdana" w:hAnsi="Verdana"/>
          <w:sz w:val="20"/>
        </w:rPr>
        <w:t xml:space="preserve"> SŽDC</w:t>
      </w:r>
      <w:r w:rsidR="0093221F" w:rsidRPr="00A84F32">
        <w:rPr>
          <w:rFonts w:ascii="Verdana" w:hAnsi="Verdana"/>
          <w:sz w:val="20"/>
        </w:rPr>
        <w:t xml:space="preserve">, vychází předpokládané využití vždy z průzkumu realitního trhu v okolí, v první řadě je vždy zvažována možnost komerčního využití – až v případě, že není zájem </w:t>
      </w:r>
      <w:r w:rsidR="00144D63" w:rsidRPr="00A84F32">
        <w:rPr>
          <w:rFonts w:ascii="Verdana" w:hAnsi="Verdana"/>
          <w:sz w:val="20"/>
        </w:rPr>
        <w:t xml:space="preserve">prostory obsadit komerčně </w:t>
      </w:r>
      <w:r w:rsidR="0093221F" w:rsidRPr="00A84F32">
        <w:rPr>
          <w:rFonts w:ascii="Verdana" w:hAnsi="Verdana"/>
          <w:sz w:val="20"/>
        </w:rPr>
        <w:t>– tuto skutečnost je nutné v ZP prokázat a</w:t>
      </w:r>
      <w:r w:rsidR="002D4F75" w:rsidRPr="00A84F32">
        <w:rPr>
          <w:rFonts w:ascii="Verdana" w:hAnsi="Verdana"/>
          <w:sz w:val="20"/>
        </w:rPr>
        <w:t> </w:t>
      </w:r>
      <w:r w:rsidR="0093221F" w:rsidRPr="00A84F32">
        <w:rPr>
          <w:rFonts w:ascii="Verdana" w:hAnsi="Verdana"/>
          <w:sz w:val="20"/>
        </w:rPr>
        <w:t xml:space="preserve">popsat, </w:t>
      </w:r>
      <w:r w:rsidR="005A78DE" w:rsidRPr="00A84F32">
        <w:rPr>
          <w:rFonts w:ascii="Verdana" w:hAnsi="Verdana"/>
          <w:sz w:val="20"/>
        </w:rPr>
        <w:t>je možné využití</w:t>
      </w:r>
      <w:r w:rsidR="0093221F" w:rsidRPr="00A84F32">
        <w:rPr>
          <w:rFonts w:ascii="Verdana" w:hAnsi="Verdana"/>
          <w:sz w:val="20"/>
        </w:rPr>
        <w:t xml:space="preserve"> prostor v rámci bytového fondu, pro</w:t>
      </w:r>
      <w:r w:rsidR="00D110A4">
        <w:rPr>
          <w:rFonts w:ascii="Verdana" w:hAnsi="Verdana"/>
          <w:sz w:val="20"/>
        </w:rPr>
        <w:t> </w:t>
      </w:r>
      <w:r w:rsidR="0093221F" w:rsidRPr="00A84F32">
        <w:rPr>
          <w:rFonts w:ascii="Verdana" w:hAnsi="Verdana"/>
          <w:sz w:val="20"/>
        </w:rPr>
        <w:t>potřeby municipalit případně státu</w:t>
      </w:r>
      <w:r w:rsidR="00876FFD" w:rsidRPr="00A84F32">
        <w:rPr>
          <w:rFonts w:ascii="Verdana" w:hAnsi="Verdana"/>
          <w:sz w:val="20"/>
        </w:rPr>
        <w:t>. Základní principy při využívání</w:t>
      </w:r>
      <w:r w:rsidR="00AE1022" w:rsidRPr="00A84F32">
        <w:rPr>
          <w:rFonts w:ascii="Verdana" w:hAnsi="Verdana"/>
          <w:sz w:val="20"/>
        </w:rPr>
        <w:t xml:space="preserve"> nebytových prostor jsou stanoveny v „Koncepci při nakládání s nemovitostmi osobních nádraží“ a</w:t>
      </w:r>
      <w:r w:rsidR="002D4F75" w:rsidRPr="00A84F32">
        <w:rPr>
          <w:rFonts w:ascii="Verdana" w:hAnsi="Verdana"/>
          <w:sz w:val="20"/>
        </w:rPr>
        <w:t> </w:t>
      </w:r>
      <w:r w:rsidR="00AE1022" w:rsidRPr="00A84F32">
        <w:rPr>
          <w:rFonts w:ascii="Verdana" w:hAnsi="Verdana"/>
          <w:sz w:val="20"/>
        </w:rPr>
        <w:t>dále se řídí SM SŽDC č. 76.</w:t>
      </w:r>
      <w:r w:rsidRPr="00A84F32">
        <w:rPr>
          <w:rFonts w:ascii="Verdana" w:hAnsi="Verdana"/>
          <w:sz w:val="20"/>
        </w:rPr>
        <w:t>;</w:t>
      </w:r>
      <w:r w:rsidR="003C6DBA" w:rsidRPr="00A84F32">
        <w:rPr>
          <w:rFonts w:ascii="Verdana" w:hAnsi="Verdana"/>
          <w:sz w:val="20"/>
        </w:rPr>
        <w:t xml:space="preserve"> </w:t>
      </w:r>
    </w:p>
    <w:p w:rsidR="00EA68F7" w:rsidRPr="00A84F32" w:rsidRDefault="005348D5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p</w:t>
      </w:r>
      <w:r w:rsidR="00EA68F7" w:rsidRPr="00A84F32">
        <w:rPr>
          <w:rFonts w:ascii="Verdana" w:hAnsi="Verdana"/>
          <w:sz w:val="20"/>
        </w:rPr>
        <w:t xml:space="preserve">odpora cestovního ruchu – umístění turistických informací v budově, infocentra, zlepšení přístupu do budovy pro cestující </w:t>
      </w:r>
      <w:r w:rsidR="002D18BD" w:rsidRPr="00A84F32">
        <w:rPr>
          <w:rFonts w:ascii="Verdana" w:hAnsi="Verdana"/>
          <w:sz w:val="20"/>
        </w:rPr>
        <w:t>s</w:t>
      </w:r>
      <w:r w:rsidR="00EA68F7" w:rsidRPr="00A84F32">
        <w:rPr>
          <w:rFonts w:ascii="Verdana" w:hAnsi="Verdana"/>
          <w:sz w:val="20"/>
        </w:rPr>
        <w:t> jízdním kolem</w:t>
      </w:r>
      <w:r w:rsidRPr="00A84F32">
        <w:rPr>
          <w:rFonts w:ascii="Verdana" w:hAnsi="Verdana"/>
          <w:sz w:val="20"/>
        </w:rPr>
        <w:t>;</w:t>
      </w:r>
    </w:p>
    <w:p w:rsidR="003037BB" w:rsidRPr="00A84F32" w:rsidRDefault="005348D5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d</w:t>
      </w:r>
      <w:r w:rsidR="00F43707" w:rsidRPr="00A84F32">
        <w:rPr>
          <w:rFonts w:ascii="Verdana" w:hAnsi="Verdana"/>
          <w:sz w:val="20"/>
        </w:rPr>
        <w:t>oložené oprávněné požadavky vlastních složek, dopravců atd. získané z místního šetření a dalších jednání</w:t>
      </w:r>
      <w:r w:rsidRPr="00A84F32">
        <w:rPr>
          <w:rFonts w:ascii="Verdana" w:hAnsi="Verdana"/>
          <w:sz w:val="20"/>
        </w:rPr>
        <w:t>;</w:t>
      </w:r>
      <w:r w:rsidR="002D18BD" w:rsidRPr="00A84F32">
        <w:rPr>
          <w:rFonts w:ascii="Verdana" w:hAnsi="Verdana"/>
          <w:sz w:val="20"/>
        </w:rPr>
        <w:t xml:space="preserve"> </w:t>
      </w:r>
    </w:p>
    <w:p w:rsidR="00F43707" w:rsidRPr="00A84F32" w:rsidRDefault="005348D5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v</w:t>
      </w:r>
      <w:r w:rsidR="002D18BD" w:rsidRPr="00A84F32">
        <w:rPr>
          <w:rFonts w:ascii="Verdana" w:hAnsi="Verdana"/>
          <w:sz w:val="20"/>
        </w:rPr>
        <w:t xml:space="preserve"> případě </w:t>
      </w:r>
      <w:r w:rsidR="003037BB" w:rsidRPr="00A84F32">
        <w:rPr>
          <w:rFonts w:ascii="Verdana" w:hAnsi="Verdana"/>
          <w:sz w:val="20"/>
        </w:rPr>
        <w:t xml:space="preserve">umístění vlastních složek do budovy vždy konkrétně doložit </w:t>
      </w:r>
      <w:r w:rsidR="0077147B" w:rsidRPr="00A84F32">
        <w:rPr>
          <w:rFonts w:ascii="Verdana" w:hAnsi="Verdana"/>
          <w:sz w:val="20"/>
        </w:rPr>
        <w:t xml:space="preserve">dimenze jednotlivých prostor pro konkrétní </w:t>
      </w:r>
      <w:r w:rsidR="003037BB" w:rsidRPr="00A84F32">
        <w:rPr>
          <w:rFonts w:ascii="Verdana" w:hAnsi="Verdana"/>
          <w:sz w:val="20"/>
        </w:rPr>
        <w:t xml:space="preserve">provozy, </w:t>
      </w:r>
      <w:r w:rsidR="0077147B" w:rsidRPr="00A84F32">
        <w:rPr>
          <w:rFonts w:ascii="Verdana" w:hAnsi="Verdana"/>
          <w:sz w:val="20"/>
        </w:rPr>
        <w:t>počty zaměstnanců</w:t>
      </w:r>
      <w:r w:rsidR="003037BB" w:rsidRPr="00A84F32">
        <w:rPr>
          <w:rFonts w:ascii="Verdana" w:hAnsi="Verdana"/>
          <w:sz w:val="20"/>
        </w:rPr>
        <w:t xml:space="preserve">, odkud </w:t>
      </w:r>
      <w:r w:rsidR="0077147B" w:rsidRPr="00A84F32">
        <w:rPr>
          <w:rFonts w:ascii="Verdana" w:hAnsi="Verdana"/>
          <w:sz w:val="20"/>
        </w:rPr>
        <w:t xml:space="preserve">zaměstnance </w:t>
      </w:r>
      <w:r w:rsidR="003037BB" w:rsidRPr="00A84F32">
        <w:rPr>
          <w:rFonts w:ascii="Verdana" w:hAnsi="Verdana"/>
          <w:sz w:val="20"/>
        </w:rPr>
        <w:t>přesouváme, vyčíslit nájem a provozní náklady původního umístění, případně nutných náhradních prostor</w:t>
      </w:r>
      <w:r w:rsidRPr="00A84F32">
        <w:rPr>
          <w:rFonts w:ascii="Verdana" w:hAnsi="Verdana"/>
          <w:sz w:val="20"/>
        </w:rPr>
        <w:t>;</w:t>
      </w:r>
    </w:p>
    <w:p w:rsidR="0093221F" w:rsidRPr="00A84F32" w:rsidRDefault="005348D5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v</w:t>
      </w:r>
      <w:r w:rsidR="003C6DBA" w:rsidRPr="00A84F32">
        <w:rPr>
          <w:rFonts w:ascii="Verdana" w:hAnsi="Verdana"/>
          <w:sz w:val="20"/>
        </w:rPr>
        <w:t xml:space="preserve"> případě VPP (plochy čekací, hygienické zázemí) a prostor pro dopravce bude vždy popsáno, jak </w:t>
      </w:r>
      <w:r w:rsidR="002304FE" w:rsidRPr="00A84F32">
        <w:rPr>
          <w:rFonts w:ascii="Verdana" w:hAnsi="Verdana"/>
          <w:sz w:val="20"/>
        </w:rPr>
        <w:t xml:space="preserve">a na základě jakých vstupů </w:t>
      </w:r>
      <w:r w:rsidR="003C6DBA" w:rsidRPr="00A84F32">
        <w:rPr>
          <w:rFonts w:ascii="Verdana" w:hAnsi="Verdana"/>
          <w:sz w:val="20"/>
        </w:rPr>
        <w:t xml:space="preserve">byly tyto </w:t>
      </w:r>
      <w:r w:rsidR="002304FE" w:rsidRPr="00A84F32">
        <w:rPr>
          <w:rFonts w:ascii="Verdana" w:hAnsi="Verdana"/>
          <w:sz w:val="20"/>
        </w:rPr>
        <w:t>kalkulovány a</w:t>
      </w:r>
      <w:r w:rsidR="002D4F75" w:rsidRPr="00A84F32">
        <w:rPr>
          <w:rFonts w:ascii="Verdana" w:hAnsi="Verdana"/>
          <w:sz w:val="20"/>
        </w:rPr>
        <w:t> </w:t>
      </w:r>
      <w:r w:rsidR="003C6DBA" w:rsidRPr="00A84F32">
        <w:rPr>
          <w:rFonts w:ascii="Verdana" w:hAnsi="Verdana"/>
          <w:sz w:val="20"/>
        </w:rPr>
        <w:t>dimenzovány (v případě dopravců budou samostatně popsány dimenze prostor pro prodej jízdních dokladů, nocležny</w:t>
      </w:r>
      <w:r w:rsidR="002304FE" w:rsidRPr="00A84F32">
        <w:rPr>
          <w:rFonts w:ascii="Verdana" w:hAnsi="Verdana"/>
          <w:sz w:val="20"/>
        </w:rPr>
        <w:t>)</w:t>
      </w:r>
      <w:r w:rsidRPr="00A84F32">
        <w:rPr>
          <w:rFonts w:ascii="Verdana" w:hAnsi="Verdana"/>
          <w:sz w:val="20"/>
        </w:rPr>
        <w:t>;</w:t>
      </w:r>
    </w:p>
    <w:p w:rsidR="00C94028" w:rsidRPr="00A84F32" w:rsidRDefault="005348D5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p</w:t>
      </w:r>
      <w:r w:rsidR="00AC3188" w:rsidRPr="00A84F32">
        <w:rPr>
          <w:rFonts w:ascii="Verdana" w:hAnsi="Verdana"/>
          <w:sz w:val="20"/>
        </w:rPr>
        <w:t xml:space="preserve">opis </w:t>
      </w:r>
      <w:r w:rsidR="00492077" w:rsidRPr="00A84F32">
        <w:rPr>
          <w:rFonts w:ascii="Verdana" w:hAnsi="Verdana"/>
          <w:sz w:val="20"/>
        </w:rPr>
        <w:t xml:space="preserve">očekávaného </w:t>
      </w:r>
      <w:r w:rsidR="00AC3188" w:rsidRPr="00A84F32">
        <w:rPr>
          <w:rFonts w:ascii="Verdana" w:hAnsi="Verdana"/>
          <w:sz w:val="20"/>
        </w:rPr>
        <w:t xml:space="preserve">vývoje provozních nákladů po provedení investice </w:t>
      </w:r>
    </w:p>
    <w:p w:rsidR="00C94028" w:rsidRPr="00A84F32" w:rsidRDefault="005348D5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p</w:t>
      </w:r>
      <w:r w:rsidR="00530F46" w:rsidRPr="00A84F32">
        <w:rPr>
          <w:rFonts w:ascii="Verdana" w:hAnsi="Verdana"/>
          <w:sz w:val="20"/>
        </w:rPr>
        <w:t>opis stanovení výše nájmů pro jednotlivé prostory po rekonst</w:t>
      </w:r>
      <w:r w:rsidR="000D13AE" w:rsidRPr="00A84F32">
        <w:rPr>
          <w:rFonts w:ascii="Verdana" w:hAnsi="Verdana"/>
          <w:sz w:val="20"/>
        </w:rPr>
        <w:t>ru</w:t>
      </w:r>
      <w:r w:rsidR="00530F46" w:rsidRPr="00A84F32">
        <w:rPr>
          <w:rFonts w:ascii="Verdana" w:hAnsi="Verdana"/>
          <w:sz w:val="20"/>
        </w:rPr>
        <w:t>kci</w:t>
      </w:r>
      <w:r w:rsidR="00F43707" w:rsidRPr="00A84F32">
        <w:rPr>
          <w:rFonts w:ascii="Verdana" w:hAnsi="Verdana"/>
          <w:sz w:val="20"/>
        </w:rPr>
        <w:t xml:space="preserve"> (</w:t>
      </w:r>
      <w:r w:rsidR="00082AC7">
        <w:rPr>
          <w:rFonts w:ascii="Verdana" w:hAnsi="Verdana"/>
          <w:sz w:val="20"/>
        </w:rPr>
        <w:t>způsob stanovení nájmů v navrhovaném stavu bude v ZP vždy doložen</w:t>
      </w:r>
      <w:r w:rsidR="00F43707" w:rsidRPr="00A84F32">
        <w:rPr>
          <w:rFonts w:ascii="Verdana" w:hAnsi="Verdana"/>
          <w:sz w:val="20"/>
        </w:rPr>
        <w:t>)</w:t>
      </w:r>
      <w:r w:rsidRPr="00A84F32">
        <w:rPr>
          <w:rFonts w:ascii="Verdana" w:hAnsi="Verdana"/>
          <w:sz w:val="20"/>
        </w:rPr>
        <w:t>;</w:t>
      </w:r>
    </w:p>
    <w:p w:rsidR="00C94028" w:rsidRPr="00A84F32" w:rsidRDefault="005348D5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t</w:t>
      </w:r>
      <w:r w:rsidR="00144D63" w:rsidRPr="00A84F32">
        <w:rPr>
          <w:rFonts w:ascii="Verdana" w:hAnsi="Verdana"/>
          <w:sz w:val="20"/>
        </w:rPr>
        <w:t>abelární přehled nového</w:t>
      </w:r>
      <w:r w:rsidR="00C94028" w:rsidRPr="00A84F32">
        <w:rPr>
          <w:rFonts w:ascii="Verdana" w:hAnsi="Verdana"/>
          <w:sz w:val="20"/>
        </w:rPr>
        <w:t xml:space="preserve"> využití prostor, </w:t>
      </w:r>
      <w:r w:rsidR="00144D63" w:rsidRPr="00A84F32">
        <w:rPr>
          <w:rFonts w:ascii="Verdana" w:hAnsi="Verdana"/>
          <w:sz w:val="20"/>
        </w:rPr>
        <w:t xml:space="preserve">jejich </w:t>
      </w:r>
      <w:r w:rsidR="00C94028" w:rsidRPr="00A84F32">
        <w:rPr>
          <w:rFonts w:ascii="Verdana" w:hAnsi="Verdana"/>
          <w:sz w:val="20"/>
        </w:rPr>
        <w:t>plocha</w:t>
      </w:r>
      <w:r w:rsidR="00144D63" w:rsidRPr="00A84F32">
        <w:rPr>
          <w:rFonts w:ascii="Verdana" w:hAnsi="Verdana"/>
          <w:sz w:val="20"/>
        </w:rPr>
        <w:t xml:space="preserve"> (stav s projektem)</w:t>
      </w:r>
      <w:r w:rsidR="00C94028" w:rsidRPr="00A84F32">
        <w:rPr>
          <w:rFonts w:ascii="Verdana" w:hAnsi="Verdana"/>
          <w:sz w:val="20"/>
        </w:rPr>
        <w:t>, výnosů z prostor, výš</w:t>
      </w:r>
      <w:r w:rsidR="00144D63" w:rsidRPr="00A84F32">
        <w:rPr>
          <w:rFonts w:ascii="Verdana" w:hAnsi="Verdana"/>
          <w:sz w:val="20"/>
        </w:rPr>
        <w:t>e</w:t>
      </w:r>
      <w:r w:rsidR="00C94028" w:rsidRPr="00A84F32">
        <w:rPr>
          <w:rFonts w:ascii="Verdana" w:hAnsi="Verdana"/>
          <w:sz w:val="20"/>
        </w:rPr>
        <w:t xml:space="preserve"> provozních nákladů </w:t>
      </w:r>
      <w:r w:rsidR="00144D63" w:rsidRPr="00A84F32">
        <w:rPr>
          <w:rFonts w:ascii="Verdana" w:hAnsi="Verdana"/>
          <w:sz w:val="20"/>
        </w:rPr>
        <w:t xml:space="preserve">SŽDC </w:t>
      </w:r>
      <w:r w:rsidR="00C94028" w:rsidRPr="00A84F32">
        <w:rPr>
          <w:rFonts w:ascii="Verdana" w:hAnsi="Verdana"/>
          <w:sz w:val="20"/>
        </w:rPr>
        <w:t>(vytápění, voda, elektrická energie, úklid) a periodických nákladů (pravidelná údržba, průběžné opravy, pravidelné revize)</w:t>
      </w:r>
      <w:r w:rsidRPr="00A84F32">
        <w:rPr>
          <w:rFonts w:ascii="Verdana" w:hAnsi="Verdana"/>
          <w:sz w:val="20"/>
        </w:rPr>
        <w:t>;</w:t>
      </w:r>
      <w:r w:rsidR="00C94028" w:rsidRPr="00A84F32">
        <w:rPr>
          <w:rFonts w:ascii="Verdana" w:hAnsi="Verdana"/>
          <w:sz w:val="20"/>
        </w:rPr>
        <w:t xml:space="preserve"> </w:t>
      </w:r>
    </w:p>
    <w:p w:rsidR="00F43707" w:rsidRPr="00A84F32" w:rsidRDefault="005348D5" w:rsidP="00550C1A">
      <w:pPr>
        <w:pStyle w:val="Odstavecseseznamem"/>
        <w:numPr>
          <w:ilvl w:val="0"/>
          <w:numId w:val="32"/>
        </w:numPr>
        <w:suppressAutoHyphens/>
        <w:spacing w:after="120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p</w:t>
      </w:r>
      <w:r w:rsidR="00F43707" w:rsidRPr="00A84F32">
        <w:rPr>
          <w:rFonts w:ascii="Verdana" w:hAnsi="Verdana"/>
          <w:sz w:val="20"/>
        </w:rPr>
        <w:t>rocentuální využití budovy po jednotlivých funkčních celcích</w:t>
      </w:r>
      <w:r w:rsidRPr="00A84F32">
        <w:rPr>
          <w:rFonts w:ascii="Verdana" w:hAnsi="Verdana"/>
          <w:sz w:val="20"/>
        </w:rPr>
        <w:t>.</w:t>
      </w:r>
    </w:p>
    <w:p w:rsidR="0097261A" w:rsidRPr="00A84F32" w:rsidRDefault="008A5EA5" w:rsidP="00A84F32">
      <w:pPr>
        <w:spacing w:after="160" w:line="259" w:lineRule="auto"/>
        <w:rPr>
          <w:rFonts w:ascii="Verdana" w:hAnsi="Verdana"/>
          <w:i/>
          <w:sz w:val="20"/>
        </w:rPr>
      </w:pPr>
      <w:r w:rsidRPr="00A84F32">
        <w:rPr>
          <w:rFonts w:ascii="Verdana" w:hAnsi="Verdana"/>
          <w:sz w:val="20"/>
        </w:rPr>
        <w:br w:type="page"/>
      </w:r>
      <w:r w:rsidR="0097261A" w:rsidRPr="00A84F32">
        <w:rPr>
          <w:rFonts w:ascii="Verdana" w:hAnsi="Verdana"/>
          <w:i/>
          <w:sz w:val="20"/>
        </w:rPr>
        <w:lastRenderedPageBreak/>
        <w:t>Příklad</w:t>
      </w:r>
      <w:r w:rsidR="003D4741" w:rsidRPr="00A84F32">
        <w:rPr>
          <w:rFonts w:ascii="Verdana" w:hAnsi="Verdana"/>
          <w:i/>
          <w:sz w:val="20"/>
        </w:rPr>
        <w:t>y</w:t>
      </w:r>
      <w:r w:rsidR="0097261A" w:rsidRPr="00A84F32">
        <w:rPr>
          <w:rFonts w:ascii="Verdana" w:hAnsi="Verdana"/>
          <w:i/>
          <w:sz w:val="20"/>
        </w:rPr>
        <w:t xml:space="preserve"> tabelární</w:t>
      </w:r>
      <w:r w:rsidR="003D4741" w:rsidRPr="00A84F32">
        <w:rPr>
          <w:rFonts w:ascii="Verdana" w:hAnsi="Verdana"/>
          <w:i/>
          <w:sz w:val="20"/>
        </w:rPr>
        <w:t>ch</w:t>
      </w:r>
      <w:r w:rsidR="0097261A" w:rsidRPr="00A84F32">
        <w:rPr>
          <w:rFonts w:ascii="Verdana" w:hAnsi="Verdana"/>
          <w:i/>
          <w:sz w:val="20"/>
        </w:rPr>
        <w:t xml:space="preserve"> přehled</w:t>
      </w:r>
      <w:r w:rsidR="003D4741" w:rsidRPr="00A84F32">
        <w:rPr>
          <w:rFonts w:ascii="Verdana" w:hAnsi="Verdana"/>
          <w:i/>
          <w:sz w:val="20"/>
        </w:rPr>
        <w:t>ů</w:t>
      </w:r>
      <w:r w:rsidR="0097261A" w:rsidRPr="00A84F32">
        <w:rPr>
          <w:rFonts w:ascii="Verdana" w:hAnsi="Verdana"/>
          <w:i/>
          <w:sz w:val="20"/>
        </w:rPr>
        <w:t>:</w:t>
      </w:r>
    </w:p>
    <w:tbl>
      <w:tblPr>
        <w:tblW w:w="93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559"/>
        <w:gridCol w:w="1276"/>
        <w:gridCol w:w="851"/>
        <w:gridCol w:w="993"/>
        <w:gridCol w:w="625"/>
        <w:gridCol w:w="653"/>
        <w:gridCol w:w="1414"/>
        <w:gridCol w:w="1098"/>
      </w:tblGrid>
      <w:tr w:rsidR="003D4741" w:rsidRPr="00A84F32" w:rsidTr="003D4741">
        <w:trPr>
          <w:trHeight w:val="412"/>
        </w:trPr>
        <w:tc>
          <w:tcPr>
            <w:tcW w:w="939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D4741" w:rsidRPr="00A84F32" w:rsidRDefault="003D4741" w:rsidP="00346CD5">
            <w:pPr>
              <w:keepNext/>
              <w:jc w:val="both"/>
              <w:rPr>
                <w:rFonts w:ascii="Verdana" w:hAnsi="Verdana"/>
                <w:b/>
                <w:bCs/>
                <w:color w:val="000000"/>
                <w:sz w:val="20"/>
              </w:rPr>
            </w:pPr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 xml:space="preserve">Přehled nákladů a výnosů  </w:t>
            </w:r>
            <w:proofErr w:type="spellStart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>žst</w:t>
            </w:r>
            <w:proofErr w:type="spellEnd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 xml:space="preserve">. </w:t>
            </w:r>
            <w:proofErr w:type="spellStart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>xxxx</w:t>
            </w:r>
            <w:proofErr w:type="spellEnd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 xml:space="preserve"> – STÁVAJÍCÍ STAV (stav bez projektu)</w:t>
            </w:r>
          </w:p>
        </w:tc>
      </w:tr>
      <w:tr w:rsidR="003D4741" w:rsidRPr="00A84F32" w:rsidTr="00D708F9">
        <w:trPr>
          <w:trHeight w:val="343"/>
        </w:trPr>
        <w:tc>
          <w:tcPr>
            <w:tcW w:w="2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Prostor - využití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Umístění</w:t>
            </w:r>
          </w:p>
        </w:tc>
        <w:tc>
          <w:tcPr>
            <w:tcW w:w="5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Přehled nájemců, výnosy</w:t>
            </w:r>
          </w:p>
        </w:tc>
      </w:tr>
      <w:tr w:rsidR="002D4F75" w:rsidRPr="00A84F32" w:rsidTr="002D4F75">
        <w:trPr>
          <w:trHeight w:val="926"/>
        </w:trPr>
        <w:tc>
          <w:tcPr>
            <w:tcW w:w="2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Plocha (m</w:t>
            </w:r>
            <w:r w:rsidRPr="00A84F32">
              <w:rPr>
                <w:rFonts w:ascii="Verdana" w:hAnsi="Verdana"/>
                <w:color w:val="000000"/>
                <w:sz w:val="20"/>
                <w:vertAlign w:val="superscript"/>
              </w:rPr>
              <w:t>2</w:t>
            </w:r>
            <w:r w:rsidRPr="00A84F32">
              <w:rPr>
                <w:rFonts w:ascii="Verdana" w:hAnsi="Verdana"/>
                <w:color w:val="000000"/>
                <w:sz w:val="20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Nájemce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Výše nájmu (Kč/m</w:t>
            </w:r>
            <w:r w:rsidRPr="00A84F32">
              <w:rPr>
                <w:rFonts w:ascii="Verdana" w:hAnsi="Verdana"/>
                <w:color w:val="000000"/>
                <w:sz w:val="20"/>
                <w:vertAlign w:val="superscript"/>
              </w:rPr>
              <w:t>2/</w:t>
            </w:r>
            <w:r w:rsidRPr="00A84F32">
              <w:rPr>
                <w:rFonts w:ascii="Verdana" w:hAnsi="Verdana"/>
                <w:color w:val="000000"/>
                <w:sz w:val="20"/>
              </w:rPr>
              <w:t>rok)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Zdůvodnění výše nájmu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Celkové výnosy (Kč/rok)</w:t>
            </w:r>
          </w:p>
        </w:tc>
      </w:tr>
      <w:tr w:rsidR="002D4F75" w:rsidRPr="00A84F32" w:rsidTr="002D4F75">
        <w:trPr>
          <w:trHeight w:val="549"/>
        </w:trPr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D7E4BD"/>
            <w:noWrap/>
            <w:textDirection w:val="btLr"/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Veřejně přístupné prostory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Hala, čekárna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</w:tr>
      <w:tr w:rsidR="002D4F75" w:rsidRPr="00A84F32" w:rsidTr="002D4F75">
        <w:trPr>
          <w:trHeight w:val="824"/>
        </w:trPr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Veřejné WC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</w:tr>
      <w:tr w:rsidR="002D4F75" w:rsidRPr="00A84F32" w:rsidTr="002D4F75">
        <w:trPr>
          <w:trHeight w:val="1099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F"/>
            <w:noWrap/>
            <w:textDirection w:val="btLr"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Technologické prostory</w:t>
            </w:r>
          </w:p>
        </w:tc>
        <w:tc>
          <w:tcPr>
            <w:tcW w:w="1559" w:type="dxa"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Technologie pro provoz dráhy, dopravní kancelář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</w:tr>
      <w:tr w:rsidR="002D4F75" w:rsidRPr="00A84F32" w:rsidTr="002D4F75">
        <w:trPr>
          <w:trHeight w:val="109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AC090"/>
            <w:noWrap/>
            <w:textDirection w:val="btLr"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Provozní prostory SŽDC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Administrativní zázemí SŽDC, technické zázemí budovy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 </w:t>
            </w:r>
          </w:p>
        </w:tc>
      </w:tr>
      <w:tr w:rsidR="002D4F75" w:rsidRPr="00A84F32" w:rsidTr="002D4F75">
        <w:trPr>
          <w:trHeight w:val="95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textDirection w:val="btLr"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 xml:space="preserve">Prostory pro dopravce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Pokladna + zázemí, úschovna zavazadel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Ceník prostor dopravců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</w:tr>
      <w:tr w:rsidR="002D4F75" w:rsidRPr="00A84F32" w:rsidTr="002D4F75">
        <w:trPr>
          <w:trHeight w:val="549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558ED5"/>
            <w:noWrap/>
            <w:textDirection w:val="btLr"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Ostatní prostory dopravců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Kanceláře, sklady, zázemí, nocležny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</w:tr>
      <w:tr w:rsidR="002D4F75" w:rsidRPr="00A84F32" w:rsidTr="002D4F75">
        <w:trPr>
          <w:trHeight w:val="408"/>
        </w:trPr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 w:rsidR="002D4F75" w:rsidRPr="00A84F32" w:rsidTr="002D4F75">
        <w:trPr>
          <w:trHeight w:val="824"/>
        </w:trPr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9694"/>
            <w:noWrap/>
            <w:textDirection w:val="btLr"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Komerční prostory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Prodejna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</w:tr>
      <w:tr w:rsidR="002D4F75" w:rsidRPr="00A84F32" w:rsidTr="002D4F75">
        <w:trPr>
          <w:trHeight w:val="824"/>
        </w:trPr>
        <w:tc>
          <w:tcPr>
            <w:tcW w:w="9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Kanceláře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Stávající komerční smlouva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</w:tr>
      <w:tr w:rsidR="002D4F75" w:rsidRPr="00A84F32" w:rsidTr="002D4F75">
        <w:trPr>
          <w:trHeight w:val="824"/>
        </w:trPr>
        <w:tc>
          <w:tcPr>
            <w:tcW w:w="9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Nápojový automat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Stávající komerční smlouva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</w:tr>
      <w:tr w:rsidR="002D4F75" w:rsidRPr="00A84F32" w:rsidTr="002D4F75">
        <w:trPr>
          <w:trHeight w:val="82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8181"/>
            <w:noWrap/>
            <w:textDirection w:val="btLr"/>
            <w:vAlign w:val="center"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Byty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Byt (2+1)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Stávající nájemní smlouva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</w:tr>
      <w:tr w:rsidR="002D4F75" w:rsidRPr="00A84F32" w:rsidTr="002D4F75">
        <w:trPr>
          <w:trHeight w:val="824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6793C"/>
            <w:noWrap/>
            <w:textDirection w:val="btLr"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Municipality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Infocentrum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</w:tr>
      <w:tr w:rsidR="002D4F75" w:rsidRPr="00A84F32" w:rsidTr="002D4F75">
        <w:trPr>
          <w:trHeight w:val="494"/>
        </w:trPr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Kanceláře, zázemí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141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</w:tr>
      <w:tr w:rsidR="002D4F75" w:rsidRPr="00A84F32" w:rsidTr="002D4F75">
        <w:trPr>
          <w:trHeight w:val="508"/>
        </w:trPr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14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 w:rsidR="00AE1D3A" w:rsidRPr="00A84F32" w:rsidTr="00D708F9">
        <w:trPr>
          <w:trHeight w:val="1128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BED8"/>
            <w:noWrap/>
            <w:textDirection w:val="btLr"/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lastRenderedPageBreak/>
              <w:t>Státní správa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Policie ČR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</w:tr>
      <w:tr w:rsidR="00AE1D3A" w:rsidRPr="00A84F32" w:rsidTr="00D708F9">
        <w:trPr>
          <w:trHeight w:val="1129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extDirection w:val="btLr"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Nevyužité prostory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Nevyužité prostory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</w:tr>
      <w:tr w:rsidR="00AE1D3A" w:rsidRPr="00A84F32" w:rsidTr="00D708F9">
        <w:trPr>
          <w:trHeight w:val="111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 Společné prostory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Schodiště, chodba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Označení prostor dle schématu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 ---</w:t>
            </w:r>
          </w:p>
        </w:tc>
      </w:tr>
      <w:tr w:rsidR="003D4741" w:rsidRPr="00A84F32" w:rsidTr="003D4741">
        <w:trPr>
          <w:trHeight w:val="549"/>
        </w:trPr>
        <w:tc>
          <w:tcPr>
            <w:tcW w:w="62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>Výnosy z pronájmů celkem (Kč/rok)</w:t>
            </w:r>
          </w:p>
        </w:tc>
        <w:tc>
          <w:tcPr>
            <w:tcW w:w="316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>Xxxxxxx</w:t>
            </w:r>
            <w:proofErr w:type="spellEnd"/>
          </w:p>
        </w:tc>
      </w:tr>
    </w:tbl>
    <w:p w:rsidR="0097261A" w:rsidRPr="00A84F32" w:rsidRDefault="0097261A" w:rsidP="00550C1A">
      <w:pPr>
        <w:suppressAutoHyphens/>
        <w:spacing w:after="120"/>
        <w:ind w:left="567"/>
        <w:rPr>
          <w:rFonts w:ascii="Verdana" w:hAnsi="Verdana"/>
          <w:sz w:val="20"/>
        </w:rPr>
      </w:pPr>
    </w:p>
    <w:p w:rsidR="0097261A" w:rsidRPr="00A84F32" w:rsidRDefault="0097261A" w:rsidP="00550C1A">
      <w:pPr>
        <w:rPr>
          <w:rFonts w:ascii="Verdana" w:hAnsi="Verdana"/>
          <w:sz w:val="20"/>
        </w:rPr>
      </w:pPr>
    </w:p>
    <w:tbl>
      <w:tblPr>
        <w:tblW w:w="8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6"/>
        <w:gridCol w:w="2126"/>
      </w:tblGrid>
      <w:tr w:rsidR="003D4741" w:rsidRPr="00A84F32" w:rsidTr="00346CD5">
        <w:trPr>
          <w:trHeight w:val="450"/>
        </w:trPr>
        <w:tc>
          <w:tcPr>
            <w:tcW w:w="821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 xml:space="preserve">Přehled nákladů </w:t>
            </w:r>
            <w:proofErr w:type="spellStart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>žst</w:t>
            </w:r>
            <w:proofErr w:type="spellEnd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 xml:space="preserve">. </w:t>
            </w:r>
            <w:proofErr w:type="spellStart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>xxx</w:t>
            </w:r>
            <w:proofErr w:type="spellEnd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 xml:space="preserve"> (Kč/rok) – STÁVAJÍCÍ STAV </w:t>
            </w:r>
          </w:p>
        </w:tc>
      </w:tr>
      <w:tr w:rsidR="003D4741" w:rsidRPr="00A84F32" w:rsidTr="00346CD5">
        <w:trPr>
          <w:trHeight w:val="360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Vytápění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  <w:r w:rsidRPr="00A84F32">
              <w:rPr>
                <w:rFonts w:ascii="Verdana" w:hAnsi="Verdana"/>
                <w:color w:val="000000"/>
                <w:sz w:val="20"/>
              </w:rPr>
              <w:t xml:space="preserve"> Kč</w:t>
            </w:r>
          </w:p>
        </w:tc>
      </w:tr>
      <w:tr w:rsidR="003D4741" w:rsidRPr="00A84F32" w:rsidTr="00346CD5">
        <w:trPr>
          <w:trHeight w:val="360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Vodné a stočné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  <w:r w:rsidRPr="00A84F32">
              <w:rPr>
                <w:rFonts w:ascii="Verdana" w:hAnsi="Verdana"/>
                <w:color w:val="000000"/>
                <w:sz w:val="20"/>
              </w:rPr>
              <w:t xml:space="preserve"> Kč</w:t>
            </w:r>
          </w:p>
        </w:tc>
      </w:tr>
      <w:tr w:rsidR="003D4741" w:rsidRPr="00A84F32" w:rsidTr="00346CD5">
        <w:trPr>
          <w:trHeight w:val="360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Elektrická energie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  <w:r w:rsidRPr="00A84F32">
              <w:rPr>
                <w:rFonts w:ascii="Verdana" w:hAnsi="Verdana"/>
                <w:color w:val="000000"/>
                <w:sz w:val="20"/>
              </w:rPr>
              <w:t xml:space="preserve"> Kč</w:t>
            </w:r>
          </w:p>
        </w:tc>
      </w:tr>
      <w:tr w:rsidR="003D4741" w:rsidRPr="00A84F32" w:rsidTr="00346CD5">
        <w:trPr>
          <w:trHeight w:val="360"/>
        </w:trPr>
        <w:tc>
          <w:tcPr>
            <w:tcW w:w="6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 xml:space="preserve">Úklid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  <w:r w:rsidRPr="00A84F32">
              <w:rPr>
                <w:rFonts w:ascii="Verdana" w:hAnsi="Verdana"/>
                <w:color w:val="000000"/>
                <w:sz w:val="20"/>
              </w:rPr>
              <w:t xml:space="preserve"> Kč</w:t>
            </w:r>
          </w:p>
        </w:tc>
      </w:tr>
      <w:tr w:rsidR="003D4741" w:rsidRPr="00A84F32" w:rsidTr="00346CD5">
        <w:trPr>
          <w:trHeight w:val="450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>Provozní náklady celkem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>xxx</w:t>
            </w:r>
            <w:proofErr w:type="spellEnd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 xml:space="preserve"> Kč</w:t>
            </w:r>
          </w:p>
        </w:tc>
      </w:tr>
      <w:tr w:rsidR="003D4741" w:rsidRPr="00A84F32" w:rsidTr="00346CD5">
        <w:trPr>
          <w:trHeight w:val="450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>Periodické náklady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>xxx</w:t>
            </w:r>
            <w:proofErr w:type="spellEnd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 xml:space="preserve"> Kč</w:t>
            </w:r>
          </w:p>
        </w:tc>
      </w:tr>
    </w:tbl>
    <w:p w:rsidR="003D4741" w:rsidRPr="00A84F32" w:rsidRDefault="003D4741" w:rsidP="003D4741">
      <w:pPr>
        <w:pStyle w:val="Odstavecseseznamem"/>
        <w:ind w:left="1080"/>
        <w:jc w:val="both"/>
        <w:rPr>
          <w:rFonts w:ascii="Verdana" w:hAnsi="Verdana"/>
          <w:sz w:val="20"/>
        </w:rPr>
      </w:pPr>
    </w:p>
    <w:tbl>
      <w:tblPr>
        <w:tblW w:w="8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6"/>
        <w:gridCol w:w="2126"/>
      </w:tblGrid>
      <w:tr w:rsidR="003D4741" w:rsidRPr="00A84F32" w:rsidTr="00346CD5">
        <w:trPr>
          <w:trHeight w:val="450"/>
        </w:trPr>
        <w:tc>
          <w:tcPr>
            <w:tcW w:w="821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 xml:space="preserve">Hospodářský výsledek </w:t>
            </w:r>
            <w:proofErr w:type="spellStart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>žst</w:t>
            </w:r>
            <w:proofErr w:type="spellEnd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 xml:space="preserve">. </w:t>
            </w:r>
            <w:proofErr w:type="spellStart"/>
            <w:proofErr w:type="gramStart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>xxx</w:t>
            </w:r>
            <w:proofErr w:type="spellEnd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 xml:space="preserve">  (Kč/rok</w:t>
            </w:r>
            <w:proofErr w:type="gramEnd"/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>)- STÁVAJÍCÍ STAV</w:t>
            </w:r>
          </w:p>
        </w:tc>
      </w:tr>
      <w:tr w:rsidR="003D4741" w:rsidRPr="00A84F32" w:rsidTr="00346CD5">
        <w:trPr>
          <w:trHeight w:val="360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Výnosy z pronájmů (Kč/rok)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A84F32">
              <w:rPr>
                <w:rFonts w:ascii="Verdana" w:hAnsi="Verdana"/>
                <w:color w:val="000000"/>
                <w:sz w:val="20"/>
              </w:rPr>
              <w:t>xxx</w:t>
            </w:r>
            <w:proofErr w:type="spellEnd"/>
            <w:r w:rsidRPr="00A84F32">
              <w:rPr>
                <w:rFonts w:ascii="Verdana" w:hAnsi="Verdana"/>
                <w:color w:val="000000"/>
                <w:sz w:val="20"/>
              </w:rPr>
              <w:t xml:space="preserve"> Kč</w:t>
            </w:r>
          </w:p>
        </w:tc>
      </w:tr>
      <w:tr w:rsidR="003D4741" w:rsidRPr="00A84F32" w:rsidTr="00346CD5">
        <w:trPr>
          <w:trHeight w:val="360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Náklady na provoz (Kč/rok)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FF0000"/>
                <w:sz w:val="20"/>
              </w:rPr>
            </w:pPr>
            <w:r w:rsidRPr="00A84F32">
              <w:rPr>
                <w:rFonts w:ascii="Verdana" w:hAnsi="Verdana"/>
                <w:color w:val="FF0000"/>
                <w:sz w:val="20"/>
              </w:rPr>
              <w:t>-</w:t>
            </w:r>
            <w:proofErr w:type="spellStart"/>
            <w:r w:rsidRPr="00A84F32">
              <w:rPr>
                <w:rFonts w:ascii="Verdana" w:hAnsi="Verdana"/>
                <w:color w:val="FF0000"/>
                <w:sz w:val="20"/>
              </w:rPr>
              <w:t>xxx</w:t>
            </w:r>
            <w:proofErr w:type="spellEnd"/>
            <w:r w:rsidRPr="00A84F32">
              <w:rPr>
                <w:rFonts w:ascii="Verdana" w:hAnsi="Verdana"/>
                <w:color w:val="FF0000"/>
                <w:sz w:val="20"/>
              </w:rPr>
              <w:t xml:space="preserve"> Kč</w:t>
            </w:r>
          </w:p>
        </w:tc>
      </w:tr>
      <w:tr w:rsidR="003D4741" w:rsidRPr="00A84F32" w:rsidTr="00346CD5">
        <w:trPr>
          <w:trHeight w:val="360"/>
        </w:trPr>
        <w:tc>
          <w:tcPr>
            <w:tcW w:w="6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000000"/>
                <w:sz w:val="20"/>
              </w:rPr>
            </w:pPr>
            <w:r w:rsidRPr="00A84F32">
              <w:rPr>
                <w:rFonts w:ascii="Verdana" w:hAnsi="Verdana"/>
                <w:color w:val="000000"/>
                <w:sz w:val="20"/>
              </w:rPr>
              <w:t>Periodické náklady (Kč/rok)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color w:val="FF0000"/>
                <w:sz w:val="20"/>
              </w:rPr>
            </w:pPr>
            <w:r w:rsidRPr="00A84F32">
              <w:rPr>
                <w:rFonts w:ascii="Verdana" w:hAnsi="Verdana"/>
                <w:color w:val="FF0000"/>
                <w:sz w:val="20"/>
              </w:rPr>
              <w:t>-</w:t>
            </w:r>
            <w:proofErr w:type="spellStart"/>
            <w:r w:rsidRPr="00A84F32">
              <w:rPr>
                <w:rFonts w:ascii="Verdana" w:hAnsi="Verdana"/>
                <w:color w:val="FF0000"/>
                <w:sz w:val="20"/>
              </w:rPr>
              <w:t>xxx</w:t>
            </w:r>
            <w:proofErr w:type="spellEnd"/>
            <w:r w:rsidRPr="00A84F32">
              <w:rPr>
                <w:rFonts w:ascii="Verdana" w:hAnsi="Verdana"/>
                <w:color w:val="FF0000"/>
                <w:sz w:val="20"/>
              </w:rPr>
              <w:t xml:space="preserve"> Kč</w:t>
            </w:r>
          </w:p>
        </w:tc>
      </w:tr>
      <w:tr w:rsidR="003D4741" w:rsidRPr="00A84F32" w:rsidTr="00346CD5">
        <w:trPr>
          <w:trHeight w:val="450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  <w:r w:rsidRPr="00A84F32">
              <w:rPr>
                <w:rFonts w:ascii="Verdana" w:hAnsi="Verdana"/>
                <w:b/>
                <w:bCs/>
                <w:color w:val="000000"/>
                <w:sz w:val="20"/>
              </w:rPr>
              <w:t>Hospodářský výsledek (Kč/rok)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4741" w:rsidRPr="00A84F32" w:rsidRDefault="003D4741" w:rsidP="00346CD5">
            <w:pPr>
              <w:rPr>
                <w:rFonts w:ascii="Verdana" w:hAnsi="Verdana"/>
                <w:b/>
                <w:bCs/>
                <w:color w:val="000000"/>
                <w:sz w:val="20"/>
              </w:rPr>
            </w:pPr>
            <w:r w:rsidRPr="00A84F32">
              <w:rPr>
                <w:rFonts w:ascii="Verdana" w:hAnsi="Verdana"/>
                <w:b/>
                <w:bCs/>
                <w:color w:val="FF0000"/>
                <w:sz w:val="20"/>
              </w:rPr>
              <w:t>-</w:t>
            </w:r>
            <w:proofErr w:type="spellStart"/>
            <w:r w:rsidRPr="00A84F32">
              <w:rPr>
                <w:rFonts w:ascii="Verdana" w:hAnsi="Verdana"/>
                <w:b/>
                <w:bCs/>
                <w:color w:val="FF0000"/>
                <w:sz w:val="20"/>
              </w:rPr>
              <w:t>xxx</w:t>
            </w:r>
            <w:proofErr w:type="spellEnd"/>
            <w:r w:rsidRPr="00A84F32">
              <w:rPr>
                <w:rFonts w:ascii="Verdana" w:hAnsi="Verdana"/>
                <w:b/>
                <w:bCs/>
                <w:color w:val="FF0000"/>
                <w:sz w:val="20"/>
              </w:rPr>
              <w:t xml:space="preserve"> Kč</w:t>
            </w:r>
          </w:p>
        </w:tc>
      </w:tr>
    </w:tbl>
    <w:p w:rsidR="00C56027" w:rsidRPr="00A84F32" w:rsidRDefault="00C56027" w:rsidP="00550C1A">
      <w:pPr>
        <w:suppressAutoHyphens/>
        <w:spacing w:after="120"/>
        <w:rPr>
          <w:rFonts w:ascii="Verdana" w:hAnsi="Verdana"/>
          <w:sz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4"/>
        <w:gridCol w:w="1276"/>
        <w:gridCol w:w="567"/>
        <w:gridCol w:w="1275"/>
      </w:tblGrid>
      <w:tr w:rsidR="003D4741" w:rsidRPr="00A84F32" w:rsidTr="00346CD5">
        <w:trPr>
          <w:trHeight w:val="300"/>
        </w:trPr>
        <w:tc>
          <w:tcPr>
            <w:tcW w:w="906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5B3D7"/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b/>
                <w:bCs/>
                <w:sz w:val="20"/>
              </w:rPr>
            </w:pPr>
            <w:r w:rsidRPr="00A84F32">
              <w:rPr>
                <w:rFonts w:ascii="Verdana" w:hAnsi="Verdana"/>
                <w:b/>
                <w:bCs/>
                <w:sz w:val="20"/>
              </w:rPr>
              <w:lastRenderedPageBreak/>
              <w:t xml:space="preserve">Přehled využití ploch – </w:t>
            </w:r>
            <w:proofErr w:type="spellStart"/>
            <w:r w:rsidRPr="00A84F32">
              <w:rPr>
                <w:rFonts w:ascii="Verdana" w:hAnsi="Verdana"/>
                <w:b/>
                <w:bCs/>
                <w:sz w:val="20"/>
              </w:rPr>
              <w:t>žst</w:t>
            </w:r>
            <w:proofErr w:type="spellEnd"/>
            <w:r w:rsidRPr="00A84F32">
              <w:rPr>
                <w:rFonts w:ascii="Verdana" w:hAnsi="Verdana"/>
                <w:b/>
                <w:bCs/>
                <w:sz w:val="20"/>
              </w:rPr>
              <w:t>. XXX – STÁVAJÍCÍ STAV</w:t>
            </w:r>
          </w:p>
        </w:tc>
      </w:tr>
      <w:tr w:rsidR="003D4741" w:rsidRPr="00A84F32" w:rsidTr="00346CD5">
        <w:trPr>
          <w:trHeight w:val="360"/>
        </w:trPr>
        <w:tc>
          <w:tcPr>
            <w:tcW w:w="59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Celková plocha ON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A84F32">
              <w:rPr>
                <w:rFonts w:ascii="Verdana" w:hAnsi="Verdana"/>
                <w:b/>
                <w:bCs/>
                <w:sz w:val="20"/>
              </w:rPr>
              <w:t>864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m</w:t>
            </w:r>
            <w:r w:rsidRPr="00A84F32">
              <w:rPr>
                <w:rFonts w:ascii="Verdana" w:hAnsi="Verdana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 </w:t>
            </w:r>
          </w:p>
        </w:tc>
      </w:tr>
      <w:tr w:rsidR="003D4741" w:rsidRPr="00A84F32" w:rsidTr="00346CD5">
        <w:trPr>
          <w:trHeight w:val="36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7E4BD"/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Veřejně přístupné prostory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355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m</w:t>
            </w:r>
            <w:r w:rsidRPr="00A84F32">
              <w:rPr>
                <w:rFonts w:ascii="Verdana" w:hAnsi="Verdana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41 %</w:t>
            </w:r>
          </w:p>
        </w:tc>
      </w:tr>
      <w:tr w:rsidR="003D4741" w:rsidRPr="00A84F32" w:rsidTr="00346CD5">
        <w:trPr>
          <w:trHeight w:val="36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F"/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Technologické prostory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m</w:t>
            </w:r>
            <w:r w:rsidRPr="00A84F32">
              <w:rPr>
                <w:rFonts w:ascii="Verdana" w:hAnsi="Verdana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8 %</w:t>
            </w:r>
          </w:p>
        </w:tc>
      </w:tr>
      <w:tr w:rsidR="003D4741" w:rsidRPr="00A84F32" w:rsidTr="00346CD5">
        <w:trPr>
          <w:trHeight w:val="36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C090"/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Provozní prostory SŽDC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m</w:t>
            </w:r>
            <w:r w:rsidRPr="00A84F32">
              <w:rPr>
                <w:rFonts w:ascii="Verdana" w:hAnsi="Verdana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4 %</w:t>
            </w:r>
          </w:p>
        </w:tc>
      </w:tr>
      <w:tr w:rsidR="003D4741" w:rsidRPr="00A84F32" w:rsidTr="00346CD5">
        <w:trPr>
          <w:trHeight w:val="30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CDE5"/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Prostory pro dopravce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m</w:t>
            </w:r>
            <w:r w:rsidRPr="00A84F32">
              <w:rPr>
                <w:rFonts w:ascii="Verdana" w:hAnsi="Verdana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7 %</w:t>
            </w:r>
          </w:p>
        </w:tc>
      </w:tr>
      <w:tr w:rsidR="003D4741" w:rsidRPr="00A84F32" w:rsidTr="00346CD5">
        <w:trPr>
          <w:trHeight w:val="36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58ED5"/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Ostatní prostory dopravců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m</w:t>
            </w:r>
            <w:r w:rsidRPr="00A84F32">
              <w:rPr>
                <w:rFonts w:ascii="Verdana" w:hAnsi="Verdana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6 %</w:t>
            </w:r>
          </w:p>
        </w:tc>
      </w:tr>
      <w:tr w:rsidR="003D4741" w:rsidRPr="00A84F32" w:rsidTr="00346CD5">
        <w:trPr>
          <w:trHeight w:val="36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694"/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Komerční prostory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m</w:t>
            </w:r>
            <w:r w:rsidRPr="00A84F32">
              <w:rPr>
                <w:rFonts w:ascii="Verdana" w:hAnsi="Verdana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3 %</w:t>
            </w:r>
          </w:p>
        </w:tc>
      </w:tr>
      <w:tr w:rsidR="003D4741" w:rsidRPr="00A84F32" w:rsidTr="00346CD5">
        <w:trPr>
          <w:trHeight w:val="30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181"/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Byty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</w:p>
        </w:tc>
      </w:tr>
      <w:tr w:rsidR="003D4741" w:rsidRPr="00A84F32" w:rsidTr="00346CD5">
        <w:trPr>
          <w:trHeight w:val="36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793C"/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Municipality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101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m</w:t>
            </w:r>
            <w:r w:rsidRPr="00A84F32">
              <w:rPr>
                <w:rFonts w:ascii="Verdana" w:hAnsi="Verdana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12 %</w:t>
            </w:r>
          </w:p>
        </w:tc>
      </w:tr>
      <w:tr w:rsidR="003D4741" w:rsidRPr="00A84F32" w:rsidTr="00346CD5">
        <w:trPr>
          <w:trHeight w:val="30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BED8"/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Státní správa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</w:p>
        </w:tc>
      </w:tr>
      <w:tr w:rsidR="003D4741" w:rsidRPr="00A84F32" w:rsidTr="00346CD5">
        <w:trPr>
          <w:trHeight w:val="36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Nevyužité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141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m</w:t>
            </w:r>
            <w:r w:rsidRPr="00A84F32">
              <w:rPr>
                <w:rFonts w:ascii="Verdana" w:hAnsi="Verdana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keepNext/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16 %</w:t>
            </w:r>
          </w:p>
        </w:tc>
      </w:tr>
      <w:tr w:rsidR="003D4741" w:rsidRPr="00A84F32" w:rsidTr="00346CD5">
        <w:trPr>
          <w:trHeight w:val="36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Společné prostory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D4741" w:rsidRPr="00A84F32" w:rsidRDefault="003D4741" w:rsidP="00346CD5">
            <w:pPr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m</w:t>
            </w:r>
            <w:r w:rsidRPr="00A84F32">
              <w:rPr>
                <w:rFonts w:ascii="Verdana" w:hAnsi="Verdana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4741" w:rsidRPr="00A84F32" w:rsidRDefault="003D4741" w:rsidP="00346CD5">
            <w:pPr>
              <w:jc w:val="right"/>
              <w:rPr>
                <w:rFonts w:ascii="Verdana" w:hAnsi="Verdana"/>
                <w:sz w:val="20"/>
              </w:rPr>
            </w:pPr>
            <w:r w:rsidRPr="00A84F32">
              <w:rPr>
                <w:rFonts w:ascii="Verdana" w:hAnsi="Verdana"/>
                <w:sz w:val="20"/>
              </w:rPr>
              <w:t>3 %</w:t>
            </w:r>
          </w:p>
        </w:tc>
      </w:tr>
    </w:tbl>
    <w:p w:rsidR="003D4741" w:rsidRPr="00A84F32" w:rsidRDefault="003D4741" w:rsidP="00550C1A">
      <w:pPr>
        <w:suppressAutoHyphens/>
        <w:spacing w:after="120"/>
        <w:rPr>
          <w:rFonts w:ascii="Verdana" w:hAnsi="Verdana"/>
          <w:sz w:val="18"/>
          <w:szCs w:val="22"/>
        </w:rPr>
      </w:pPr>
    </w:p>
    <w:p w:rsidR="00D708F9" w:rsidRPr="00A84F32" w:rsidRDefault="008D5F1D" w:rsidP="00550C1A">
      <w:pPr>
        <w:suppressAutoHyphens/>
        <w:spacing w:after="120"/>
        <w:rPr>
          <w:rFonts w:ascii="Verdana" w:hAnsi="Verdana"/>
          <w:sz w:val="18"/>
          <w:szCs w:val="22"/>
        </w:rPr>
      </w:pPr>
      <w:r w:rsidRPr="00A84F32">
        <w:rPr>
          <w:rFonts w:ascii="Verdana" w:hAnsi="Verdana"/>
          <w:sz w:val="18"/>
          <w:szCs w:val="22"/>
        </w:rPr>
        <w:t>Tabulky budou ve stejném rozsahu zpracovány i pro navrhovaný stav, tj. pro stav „s projektem“.</w:t>
      </w:r>
    </w:p>
    <w:p w:rsidR="008A5EA5" w:rsidRPr="00A84F32" w:rsidRDefault="008A5EA5">
      <w:pPr>
        <w:spacing w:after="160" w:line="259" w:lineRule="auto"/>
        <w:rPr>
          <w:rFonts w:ascii="Verdana" w:hAnsi="Verdana"/>
          <w:sz w:val="20"/>
          <w:u w:val="single"/>
        </w:rPr>
      </w:pPr>
    </w:p>
    <w:p w:rsidR="00EE3DE7" w:rsidRPr="00A84F32" w:rsidRDefault="00EE3DE7" w:rsidP="00EE3DE7">
      <w:pPr>
        <w:jc w:val="both"/>
        <w:rPr>
          <w:rFonts w:ascii="Verdana" w:hAnsi="Verdana"/>
          <w:b/>
          <w:sz w:val="20"/>
          <w:u w:val="single"/>
        </w:rPr>
      </w:pPr>
      <w:r w:rsidRPr="00A84F32">
        <w:rPr>
          <w:rFonts w:ascii="Verdana" w:hAnsi="Verdana"/>
          <w:b/>
          <w:sz w:val="20"/>
          <w:u w:val="single"/>
        </w:rPr>
        <w:t>Kapitola 5 – „Specifikace rozhodujících stavebních objektů a provozních souborů“ bude obsahovat:</w:t>
      </w:r>
    </w:p>
    <w:p w:rsidR="00EE3DE7" w:rsidRPr="00A84F32" w:rsidRDefault="00EE3DE7" w:rsidP="00EE3DE7">
      <w:pPr>
        <w:jc w:val="both"/>
        <w:rPr>
          <w:rFonts w:ascii="Verdana" w:hAnsi="Verdana"/>
          <w:sz w:val="20"/>
          <w:u w:val="single"/>
        </w:rPr>
      </w:pPr>
    </w:p>
    <w:p w:rsidR="00EE3DE7" w:rsidRPr="00A84F32" w:rsidRDefault="00EE3DE7" w:rsidP="00EE3DE7">
      <w:pPr>
        <w:pStyle w:val="Odstavecseseznamem"/>
        <w:numPr>
          <w:ilvl w:val="0"/>
          <w:numId w:val="38"/>
        </w:numPr>
        <w:spacing w:after="200" w:line="276" w:lineRule="auto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členění akce na jednotlivé SO a PS se stručným obsahem co je jejich obsahem;</w:t>
      </w:r>
    </w:p>
    <w:p w:rsidR="00EE3DE7" w:rsidRDefault="00EE3DE7" w:rsidP="00EE3DE7">
      <w:pPr>
        <w:pStyle w:val="Odstavecseseznamem"/>
        <w:numPr>
          <w:ilvl w:val="0"/>
          <w:numId w:val="38"/>
        </w:numPr>
        <w:spacing w:after="200" w:line="276" w:lineRule="auto"/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tabelární přehled dotčených ploch, které vstupují do MKA.</w:t>
      </w:r>
    </w:p>
    <w:p w:rsidR="00761DF8" w:rsidRDefault="00761DF8" w:rsidP="00761DF8">
      <w:pPr>
        <w:spacing w:after="200" w:line="276" w:lineRule="auto"/>
        <w:jc w:val="both"/>
        <w:rPr>
          <w:rFonts w:ascii="Verdana" w:hAnsi="Verdana"/>
          <w:sz w:val="20"/>
        </w:rPr>
      </w:pPr>
    </w:p>
    <w:p w:rsidR="00761DF8" w:rsidRPr="00761DF8" w:rsidRDefault="00761DF8" w:rsidP="00761DF8">
      <w:pPr>
        <w:suppressAutoHyphens/>
        <w:spacing w:after="120"/>
        <w:jc w:val="both"/>
        <w:rPr>
          <w:rFonts w:ascii="Verdana" w:hAnsi="Verdana"/>
          <w:i/>
          <w:sz w:val="20"/>
          <w:shd w:val="clear" w:color="auto" w:fill="DEEAF6" w:themeFill="accent1" w:themeFillTint="33"/>
        </w:rPr>
      </w:pPr>
      <w:r w:rsidRPr="00761DF8">
        <w:rPr>
          <w:rFonts w:ascii="Verdana" w:hAnsi="Verdana"/>
          <w:i/>
          <w:sz w:val="20"/>
          <w:shd w:val="clear" w:color="auto" w:fill="DEEAF6" w:themeFill="accent1" w:themeFillTint="33"/>
        </w:rPr>
        <w:t>ZP bude obsahovat samostatnou „neveřejnou přílohu“, které bude obsahovat:</w:t>
      </w:r>
    </w:p>
    <w:p w:rsidR="00761DF8" w:rsidRPr="00761DF8" w:rsidRDefault="00761DF8" w:rsidP="00761DF8">
      <w:pPr>
        <w:pStyle w:val="Odstavecseseznamem"/>
        <w:numPr>
          <w:ilvl w:val="0"/>
          <w:numId w:val="38"/>
        </w:numPr>
        <w:suppressAutoHyphens/>
        <w:spacing w:after="120"/>
        <w:jc w:val="both"/>
        <w:rPr>
          <w:rFonts w:ascii="Verdana" w:hAnsi="Verdana"/>
          <w:i/>
          <w:sz w:val="20"/>
          <w:shd w:val="clear" w:color="auto" w:fill="DEEAF6" w:themeFill="accent1" w:themeFillTint="33"/>
        </w:rPr>
      </w:pPr>
      <w:r w:rsidRPr="00761DF8">
        <w:rPr>
          <w:rFonts w:ascii="Verdana" w:hAnsi="Verdana"/>
          <w:i/>
          <w:sz w:val="20"/>
          <w:shd w:val="clear" w:color="auto" w:fill="DEEAF6" w:themeFill="accent1" w:themeFillTint="33"/>
        </w:rPr>
        <w:t>informace o počtu cestujících</w:t>
      </w:r>
    </w:p>
    <w:p w:rsidR="00761DF8" w:rsidRPr="00761DF8" w:rsidRDefault="00761DF8" w:rsidP="00761DF8">
      <w:pPr>
        <w:pStyle w:val="Odstavecseseznamem"/>
        <w:numPr>
          <w:ilvl w:val="0"/>
          <w:numId w:val="38"/>
        </w:numPr>
        <w:suppressAutoHyphens/>
        <w:spacing w:after="120"/>
        <w:jc w:val="both"/>
        <w:rPr>
          <w:rFonts w:ascii="Verdana" w:hAnsi="Verdana"/>
          <w:i/>
          <w:sz w:val="20"/>
          <w:shd w:val="clear" w:color="auto" w:fill="DEEAF6" w:themeFill="accent1" w:themeFillTint="33"/>
        </w:rPr>
      </w:pPr>
      <w:r w:rsidRPr="00761DF8">
        <w:rPr>
          <w:rFonts w:ascii="Verdana" w:hAnsi="Verdana"/>
          <w:i/>
          <w:sz w:val="20"/>
          <w:shd w:val="clear" w:color="auto" w:fill="DEEAF6" w:themeFill="accent1" w:themeFillTint="33"/>
        </w:rPr>
        <w:t>přehled provozních nákladů a výnosů a hospodářský výsledek v současném a navrhovaném stavu.</w:t>
      </w:r>
    </w:p>
    <w:p w:rsidR="00761DF8" w:rsidRPr="00761DF8" w:rsidRDefault="00761DF8" w:rsidP="00761DF8">
      <w:pPr>
        <w:suppressAutoHyphens/>
        <w:spacing w:after="120"/>
        <w:jc w:val="both"/>
        <w:rPr>
          <w:rFonts w:ascii="Verdana" w:hAnsi="Verdana"/>
          <w:i/>
          <w:sz w:val="20"/>
          <w:shd w:val="clear" w:color="auto" w:fill="DEEAF6" w:themeFill="accent1" w:themeFillTint="33"/>
        </w:rPr>
      </w:pPr>
      <w:r w:rsidRPr="00761DF8">
        <w:rPr>
          <w:rFonts w:ascii="Verdana" w:hAnsi="Verdana"/>
          <w:i/>
          <w:sz w:val="20"/>
          <w:shd w:val="clear" w:color="auto" w:fill="DEEAF6" w:themeFill="accent1" w:themeFillTint="33"/>
        </w:rPr>
        <w:t>Do textové části bude doplněn odkaz.</w:t>
      </w:r>
    </w:p>
    <w:p w:rsidR="00EE3DE7" w:rsidRPr="00A84F32" w:rsidRDefault="00EE3DE7" w:rsidP="00EE3DE7">
      <w:pPr>
        <w:suppressAutoHyphens/>
        <w:spacing w:after="120"/>
        <w:rPr>
          <w:rFonts w:ascii="Verdana" w:hAnsi="Verdana"/>
          <w:sz w:val="20"/>
        </w:rPr>
      </w:pPr>
    </w:p>
    <w:p w:rsidR="000A4322" w:rsidRPr="00A84F32" w:rsidRDefault="000A4322" w:rsidP="00EE3DE7">
      <w:pPr>
        <w:suppressAutoHyphens/>
        <w:spacing w:after="120"/>
        <w:rPr>
          <w:rFonts w:ascii="Verdana" w:hAnsi="Verdana"/>
          <w:sz w:val="18"/>
          <w:szCs w:val="22"/>
        </w:rPr>
      </w:pPr>
    </w:p>
    <w:p w:rsidR="000A4322" w:rsidRPr="00A84F32" w:rsidRDefault="000A4322" w:rsidP="00EE3DE7">
      <w:pPr>
        <w:suppressAutoHyphens/>
        <w:spacing w:after="120"/>
        <w:rPr>
          <w:rFonts w:ascii="Verdana" w:hAnsi="Verdana"/>
          <w:sz w:val="18"/>
          <w:szCs w:val="22"/>
        </w:rPr>
      </w:pPr>
    </w:p>
    <w:p w:rsidR="000A4322" w:rsidRPr="00A84F32" w:rsidRDefault="000A4322" w:rsidP="00EE3DE7">
      <w:pPr>
        <w:suppressAutoHyphens/>
        <w:spacing w:after="120"/>
        <w:rPr>
          <w:rFonts w:ascii="Verdana" w:hAnsi="Verdana"/>
          <w:sz w:val="18"/>
          <w:szCs w:val="22"/>
        </w:rPr>
      </w:pPr>
    </w:p>
    <w:p w:rsidR="008A5EA5" w:rsidRPr="00A84F32" w:rsidRDefault="008A5EA5" w:rsidP="00550C1A">
      <w:pPr>
        <w:suppressAutoHyphens/>
        <w:spacing w:after="120"/>
        <w:rPr>
          <w:rFonts w:ascii="Verdana" w:hAnsi="Verdana"/>
          <w:sz w:val="20"/>
        </w:rPr>
      </w:pPr>
    </w:p>
    <w:p w:rsidR="00C61F3F" w:rsidRPr="00A84F32" w:rsidRDefault="00FC442C" w:rsidP="00550C1A">
      <w:pPr>
        <w:suppressAutoHyphens/>
        <w:spacing w:after="120"/>
        <w:rPr>
          <w:rFonts w:ascii="Verdana" w:hAnsi="Verdana"/>
          <w:sz w:val="20"/>
          <w:u w:val="single"/>
        </w:rPr>
      </w:pPr>
      <w:r w:rsidRPr="00A84F32">
        <w:rPr>
          <w:rFonts w:ascii="Verdana" w:hAnsi="Verdana"/>
          <w:sz w:val="20"/>
          <w:u w:val="single"/>
        </w:rPr>
        <w:t>Přílohy:</w:t>
      </w:r>
    </w:p>
    <w:p w:rsidR="00C61F3F" w:rsidRPr="00A84F32" w:rsidRDefault="00C61F3F" w:rsidP="00C61F3F">
      <w:pPr>
        <w:pStyle w:val="Odstavecseseznamem"/>
        <w:numPr>
          <w:ilvl w:val="0"/>
          <w:numId w:val="40"/>
        </w:numPr>
        <w:suppressAutoHyphens/>
        <w:spacing w:after="120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Návrh barevného rozlišení při projektování ON po funkčních celcích</w:t>
      </w:r>
    </w:p>
    <w:p w:rsidR="000A4322" w:rsidRPr="00A84F32" w:rsidRDefault="000A4322" w:rsidP="000A4322">
      <w:pPr>
        <w:pStyle w:val="Odstavecseseznamem"/>
        <w:numPr>
          <w:ilvl w:val="0"/>
          <w:numId w:val="40"/>
        </w:numPr>
        <w:suppressAutoHyphens/>
        <w:spacing w:after="120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Stavební připravenost nemovitostí</w:t>
      </w:r>
    </w:p>
    <w:p w:rsidR="008A5EA5" w:rsidRPr="00A84F32" w:rsidRDefault="00D110A4" w:rsidP="00A84F32">
      <w:pPr>
        <w:pStyle w:val="Odstavecseseznamem"/>
        <w:numPr>
          <w:ilvl w:val="0"/>
          <w:numId w:val="40"/>
        </w:numPr>
        <w:suppressAutoHyphens/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Vzory tabelárních přehledů ve </w:t>
      </w:r>
      <w:proofErr w:type="gramStart"/>
      <w:r>
        <w:rPr>
          <w:rFonts w:ascii="Verdana" w:hAnsi="Verdana"/>
          <w:sz w:val="20"/>
        </w:rPr>
        <w:t>formátu .</w:t>
      </w:r>
      <w:proofErr w:type="spellStart"/>
      <w:r>
        <w:rPr>
          <w:rFonts w:ascii="Verdana" w:hAnsi="Verdana"/>
          <w:sz w:val="20"/>
        </w:rPr>
        <w:t>xlsx</w:t>
      </w:r>
      <w:proofErr w:type="spellEnd"/>
      <w:proofErr w:type="gramEnd"/>
    </w:p>
    <w:p w:rsidR="00FC442C" w:rsidRPr="00A84F32" w:rsidRDefault="00FC442C" w:rsidP="00550C1A">
      <w:pPr>
        <w:suppressAutoHyphens/>
        <w:spacing w:after="120"/>
        <w:rPr>
          <w:rFonts w:ascii="Verdana" w:hAnsi="Verdana"/>
          <w:sz w:val="20"/>
        </w:rPr>
      </w:pPr>
    </w:p>
    <w:p w:rsidR="008A5EA5" w:rsidRPr="00A84F32" w:rsidRDefault="00FC442C" w:rsidP="008A5EA5">
      <w:pPr>
        <w:suppressAutoHyphens/>
        <w:spacing w:after="120"/>
        <w:jc w:val="right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 xml:space="preserve">SŽDC, GŘ, </w:t>
      </w:r>
      <w:r w:rsidR="008A5EA5" w:rsidRPr="00A84F32">
        <w:rPr>
          <w:rFonts w:ascii="Verdana" w:hAnsi="Verdana"/>
          <w:sz w:val="20"/>
        </w:rPr>
        <w:t>O6/3</w:t>
      </w:r>
    </w:p>
    <w:p w:rsidR="008A5EA5" w:rsidRPr="00A84F32" w:rsidRDefault="00761DF8" w:rsidP="008A5EA5">
      <w:pPr>
        <w:suppressAutoHyphens/>
        <w:spacing w:after="120"/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16</w:t>
      </w:r>
      <w:r w:rsidR="00D916A7">
        <w:rPr>
          <w:rFonts w:ascii="Verdana" w:hAnsi="Verdana"/>
          <w:sz w:val="20"/>
        </w:rPr>
        <w:t xml:space="preserve">. </w:t>
      </w:r>
      <w:r>
        <w:rPr>
          <w:rFonts w:ascii="Verdana" w:hAnsi="Verdana"/>
          <w:sz w:val="20"/>
        </w:rPr>
        <w:t>08</w:t>
      </w:r>
      <w:r w:rsidR="00EE3DE7" w:rsidRPr="00A84F32">
        <w:rPr>
          <w:rFonts w:ascii="Verdana" w:hAnsi="Verdana"/>
          <w:sz w:val="20"/>
        </w:rPr>
        <w:t>. 2019</w:t>
      </w:r>
    </w:p>
    <w:p w:rsidR="000A4322" w:rsidRPr="00A84F32" w:rsidRDefault="000A4322" w:rsidP="008A5EA5">
      <w:pPr>
        <w:suppressAutoHyphens/>
        <w:spacing w:after="120"/>
        <w:jc w:val="right"/>
        <w:rPr>
          <w:rFonts w:ascii="Verdana" w:hAnsi="Verdana"/>
          <w:sz w:val="20"/>
        </w:rPr>
      </w:pPr>
    </w:p>
    <w:p w:rsidR="000A4322" w:rsidRPr="00A84F32" w:rsidRDefault="000A4322" w:rsidP="008A5EA5">
      <w:pPr>
        <w:suppressAutoHyphens/>
        <w:spacing w:after="120"/>
        <w:jc w:val="right"/>
        <w:rPr>
          <w:rFonts w:ascii="Verdana" w:hAnsi="Verdana"/>
          <w:sz w:val="18"/>
          <w:szCs w:val="22"/>
        </w:rPr>
      </w:pPr>
      <w:bookmarkStart w:id="0" w:name="_GoBack"/>
      <w:bookmarkEnd w:id="0"/>
    </w:p>
    <w:p w:rsidR="000A4322" w:rsidRPr="00A84F32" w:rsidRDefault="000A4322" w:rsidP="008A5EA5">
      <w:pPr>
        <w:suppressAutoHyphens/>
        <w:spacing w:after="120"/>
        <w:jc w:val="right"/>
        <w:rPr>
          <w:rFonts w:ascii="Verdana" w:hAnsi="Verdana"/>
          <w:sz w:val="18"/>
          <w:szCs w:val="22"/>
        </w:rPr>
      </w:pPr>
    </w:p>
    <w:p w:rsidR="00C61F3F" w:rsidRPr="00A84F32" w:rsidRDefault="00C61F3F" w:rsidP="00A84F32">
      <w:pPr>
        <w:suppressAutoHyphens/>
        <w:spacing w:after="120"/>
        <w:ind w:left="-426"/>
        <w:rPr>
          <w:rFonts w:ascii="Verdana" w:hAnsi="Verdana"/>
          <w:b/>
          <w:sz w:val="22"/>
          <w:szCs w:val="28"/>
        </w:rPr>
      </w:pPr>
      <w:r w:rsidRPr="00A84F32">
        <w:rPr>
          <w:rFonts w:ascii="Verdana" w:hAnsi="Verdana"/>
          <w:b/>
          <w:sz w:val="22"/>
          <w:szCs w:val="28"/>
        </w:rPr>
        <w:t>Příloha č. 1</w:t>
      </w:r>
    </w:p>
    <w:p w:rsidR="00C61F3F" w:rsidRPr="00A84F32" w:rsidRDefault="00C61F3F" w:rsidP="00A84F32">
      <w:pPr>
        <w:suppressAutoHyphens/>
        <w:spacing w:after="120"/>
        <w:ind w:left="-426"/>
        <w:rPr>
          <w:rFonts w:ascii="Verdana" w:hAnsi="Verdana"/>
          <w:b/>
          <w:sz w:val="22"/>
          <w:szCs w:val="28"/>
        </w:rPr>
      </w:pPr>
      <w:r w:rsidRPr="00A84F32">
        <w:rPr>
          <w:rFonts w:ascii="Verdana" w:hAnsi="Verdana"/>
          <w:b/>
          <w:sz w:val="20"/>
        </w:rPr>
        <w:t>Návrh barevného rozlišení při projektování ON po funkčních celcích</w:t>
      </w:r>
    </w:p>
    <w:p w:rsidR="00C61F3F" w:rsidRPr="00A84F32" w:rsidRDefault="00C61F3F" w:rsidP="00C61F3F">
      <w:pPr>
        <w:pStyle w:val="Odstavecseseznamem"/>
        <w:numPr>
          <w:ilvl w:val="0"/>
          <w:numId w:val="32"/>
        </w:numPr>
        <w:spacing w:after="200" w:line="276" w:lineRule="auto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Takto barevně rozlišená schémata současného stavu a stavu po provedení investice budou součástí textové části ZP;</w:t>
      </w:r>
    </w:p>
    <w:p w:rsidR="00C61F3F" w:rsidRPr="00A84F32" w:rsidRDefault="00C61F3F" w:rsidP="00C61F3F">
      <w:pPr>
        <w:pStyle w:val="Odstavecseseznamem"/>
        <w:numPr>
          <w:ilvl w:val="0"/>
          <w:numId w:val="32"/>
        </w:numPr>
        <w:spacing w:after="200" w:line="276" w:lineRule="auto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navržené barevné zpracování je jednotné pro všechny OJ a je závazné pro zpracovatele ZP a PD.</w:t>
      </w: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  <w:r w:rsidRPr="00A84F32"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D7F490" wp14:editId="62CE179F">
                <wp:simplePos x="0" y="0"/>
                <wp:positionH relativeFrom="column">
                  <wp:posOffset>6350</wp:posOffset>
                </wp:positionH>
                <wp:positionV relativeFrom="paragraph">
                  <wp:posOffset>37851</wp:posOffset>
                </wp:positionV>
                <wp:extent cx="1701165" cy="238125"/>
                <wp:effectExtent l="0" t="0" r="0" b="9525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238125"/>
                        </a:xfrm>
                        <a:prstGeom prst="rect">
                          <a:avLst/>
                        </a:prstGeom>
                        <a:solidFill>
                          <a:srgbClr val="D7E4B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3" o:spid="_x0000_s1026" style="position:absolute;margin-left:.5pt;margin-top:3pt;width:133.95pt;height:18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" fillcolor="#d7e4bd" stroked="f" strokeweight="1pt"/>
            </w:pict>
          </mc:Fallback>
        </mc:AlternateContent>
      </w:r>
      <w:r w:rsidRPr="00A84F32">
        <w:rPr>
          <w:rFonts w:ascii="Verdana" w:hAnsi="Verdana"/>
          <w:sz w:val="20"/>
        </w:rPr>
        <w:t>Veřejně přístupné prostory (odbavovací haly, čekárny, veřejná WC -                                 v případě že nejsou provozovaná externím nájemcem a nejde tedy o komerční provoz), barevný model RGB 215,228,189</w:t>
      </w: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  <w:r w:rsidRPr="00A84F32"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6D0A67" wp14:editId="4D34CA83">
                <wp:simplePos x="0" y="0"/>
                <wp:positionH relativeFrom="column">
                  <wp:posOffset>6902</wp:posOffset>
                </wp:positionH>
                <wp:positionV relativeFrom="paragraph">
                  <wp:posOffset>10160</wp:posOffset>
                </wp:positionV>
                <wp:extent cx="1701165" cy="238125"/>
                <wp:effectExtent l="0" t="0" r="0" b="9525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2381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4" o:spid="_x0000_s1026" style="position:absolute;margin-left:.55pt;margin-top:.8pt;width:133.95pt;height:18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" fillcolor="#ffff9f" stroked="f" strokeweight="2pt"/>
            </w:pict>
          </mc:Fallback>
        </mc:AlternateContent>
      </w:r>
      <w:r w:rsidRPr="00A84F32">
        <w:rPr>
          <w:rFonts w:ascii="Verdana" w:hAnsi="Verdana"/>
          <w:sz w:val="20"/>
        </w:rPr>
        <w:t>Prostory pro zajištění provozuschopnosti dráhy (dopravní kancelář, technologické místnosti), barevný model RGB 255,255,159</w:t>
      </w: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  <w:r w:rsidRPr="00A84F32"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49ED29" wp14:editId="181C3B7A">
                <wp:simplePos x="0" y="0"/>
                <wp:positionH relativeFrom="column">
                  <wp:posOffset>7620</wp:posOffset>
                </wp:positionH>
                <wp:positionV relativeFrom="paragraph">
                  <wp:posOffset>19050</wp:posOffset>
                </wp:positionV>
                <wp:extent cx="1701165" cy="238125"/>
                <wp:effectExtent l="0" t="0" r="0" b="9525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238125"/>
                        </a:xfrm>
                        <a:prstGeom prst="rect">
                          <a:avLst/>
                        </a:prstGeom>
                        <a:solidFill>
                          <a:srgbClr val="FFB13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5" o:spid="_x0000_s1026" style="position:absolute;margin-left:.6pt;margin-top:1.5pt;width:133.95pt;height:18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" fillcolor="#ffb13f" stroked="f" strokeweight="2pt"/>
            </w:pict>
          </mc:Fallback>
        </mc:AlternateContent>
      </w:r>
      <w:r w:rsidRPr="00A84F32">
        <w:rPr>
          <w:rFonts w:ascii="Verdana" w:hAnsi="Verdana"/>
          <w:sz w:val="20"/>
        </w:rPr>
        <w:t>Prostory pro vlastní využití SŽDC (administrativní zázemí, školící místnosti…), barevný model RGB 250,192,144</w:t>
      </w: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  <w:r w:rsidRPr="00A84F32"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227B49" wp14:editId="5BE04954">
                <wp:simplePos x="0" y="0"/>
                <wp:positionH relativeFrom="column">
                  <wp:posOffset>5080</wp:posOffset>
                </wp:positionH>
                <wp:positionV relativeFrom="paragraph">
                  <wp:posOffset>5080</wp:posOffset>
                </wp:positionV>
                <wp:extent cx="1701165" cy="238125"/>
                <wp:effectExtent l="0" t="0" r="13335" b="28575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6" o:spid="_x0000_s1026" style="position:absolute;margin-left:.4pt;margin-top:.4pt;width:133.95pt;height:18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" fillcolor="white [3212]" strokecolor="black [3213]" strokeweight=".5pt"/>
            </w:pict>
          </mc:Fallback>
        </mc:AlternateContent>
      </w:r>
      <w:r w:rsidRPr="00A84F32">
        <w:rPr>
          <w:rFonts w:ascii="Verdana" w:hAnsi="Verdana"/>
          <w:sz w:val="20"/>
        </w:rPr>
        <w:t>Společné prostory, barevní model RGB 255,255,255</w:t>
      </w: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  <w:r w:rsidRPr="00A84F32"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6A02FE" wp14:editId="6C019E31">
                <wp:simplePos x="0" y="0"/>
                <wp:positionH relativeFrom="column">
                  <wp:posOffset>8255</wp:posOffset>
                </wp:positionH>
                <wp:positionV relativeFrom="paragraph">
                  <wp:posOffset>15875</wp:posOffset>
                </wp:positionV>
                <wp:extent cx="1701165" cy="238125"/>
                <wp:effectExtent l="0" t="0" r="0" b="9525"/>
                <wp:wrapNone/>
                <wp:docPr id="27" name="Obdélní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238125"/>
                        </a:xfrm>
                        <a:prstGeom prst="rect">
                          <a:avLst/>
                        </a:prstGeom>
                        <a:solidFill>
                          <a:srgbClr val="B9CDE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7" o:spid="_x0000_s1026" style="position:absolute;margin-left:.65pt;margin-top:1.25pt;width:133.95pt;height:18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" fillcolor="#b9cde5" stroked="f" strokeweight="2pt"/>
            </w:pict>
          </mc:Fallback>
        </mc:AlternateContent>
      </w:r>
      <w:r w:rsidRPr="00A84F32">
        <w:rPr>
          <w:rFonts w:ascii="Verdana" w:hAnsi="Verdana"/>
          <w:sz w:val="20"/>
        </w:rPr>
        <w:t>Prostory pro dopravce (provozní součásti zařízení služeb), barevný model RGB 185,205,229</w:t>
      </w: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  <w:r w:rsidRPr="00A84F32"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51EA86D" wp14:editId="5430235B">
                <wp:simplePos x="0" y="0"/>
                <wp:positionH relativeFrom="column">
                  <wp:posOffset>17590</wp:posOffset>
                </wp:positionH>
                <wp:positionV relativeFrom="paragraph">
                  <wp:posOffset>14474</wp:posOffset>
                </wp:positionV>
                <wp:extent cx="1701165" cy="238125"/>
                <wp:effectExtent l="0" t="0" r="0" b="9525"/>
                <wp:wrapNone/>
                <wp:docPr id="28" name="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2381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8" o:spid="_x0000_s1026" style="position:absolute;margin-left:1.4pt;margin-top:1.15pt;width:133.95pt;height:18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" fillcolor="#8496b0 [1951]" stroked="f" strokeweight="2pt"/>
            </w:pict>
          </mc:Fallback>
        </mc:AlternateContent>
      </w:r>
      <w:r w:rsidRPr="00A84F32">
        <w:rPr>
          <w:rFonts w:ascii="Verdana" w:hAnsi="Verdana"/>
          <w:sz w:val="20"/>
        </w:rPr>
        <w:t>Prostory pro dopravce (provozní součásti zařízení služeb dle § 3 odst. 1 Vyhlášky 76/2017 písmeno i), barevný model RGB 85,142,213</w:t>
      </w: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  <w:r w:rsidRPr="00A84F32"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C93805" wp14:editId="2376E91E">
                <wp:simplePos x="0" y="0"/>
                <wp:positionH relativeFrom="column">
                  <wp:posOffset>-635</wp:posOffset>
                </wp:positionH>
                <wp:positionV relativeFrom="paragraph">
                  <wp:posOffset>43520</wp:posOffset>
                </wp:positionV>
                <wp:extent cx="1701165" cy="238125"/>
                <wp:effectExtent l="0" t="0" r="0" b="9525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238125"/>
                        </a:xfrm>
                        <a:prstGeom prst="rect">
                          <a:avLst/>
                        </a:prstGeom>
                        <a:solidFill>
                          <a:srgbClr val="D9969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9" o:spid="_x0000_s1026" style="position:absolute;margin-left:-.05pt;margin-top:3.45pt;width:133.95pt;height:18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" fillcolor="#d99694" stroked="f" strokeweight="2pt"/>
            </w:pict>
          </mc:Fallback>
        </mc:AlternateContent>
      </w:r>
      <w:r w:rsidRPr="00A84F32">
        <w:rPr>
          <w:rFonts w:ascii="Verdana" w:hAnsi="Verdana"/>
          <w:sz w:val="20"/>
        </w:rPr>
        <w:t xml:space="preserve">Komerční prostory (administrativa, obchod, </w:t>
      </w:r>
      <w:proofErr w:type="spellStart"/>
      <w:r w:rsidRPr="00A84F32">
        <w:rPr>
          <w:rFonts w:ascii="Verdana" w:hAnsi="Verdana"/>
          <w:sz w:val="20"/>
        </w:rPr>
        <w:t>gastroprovozy</w:t>
      </w:r>
      <w:proofErr w:type="spellEnd"/>
      <w:r w:rsidRPr="00A84F32">
        <w:rPr>
          <w:rFonts w:ascii="Verdana" w:hAnsi="Verdana"/>
          <w:sz w:val="20"/>
        </w:rPr>
        <w:t>, pošta</w:t>
      </w:r>
      <w:proofErr w:type="gramStart"/>
      <w:r w:rsidRPr="00A84F32">
        <w:rPr>
          <w:rFonts w:ascii="Verdana" w:hAnsi="Verdana"/>
          <w:sz w:val="20"/>
        </w:rPr>
        <w:t>…),  barevný</w:t>
      </w:r>
      <w:proofErr w:type="gramEnd"/>
      <w:r w:rsidRPr="00A84F32">
        <w:rPr>
          <w:rFonts w:ascii="Verdana" w:hAnsi="Verdana"/>
          <w:sz w:val="20"/>
        </w:rPr>
        <w:t xml:space="preserve"> model RGB 217,150,148</w:t>
      </w: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  <w:r w:rsidRPr="00A84F32"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D9DA73" wp14:editId="779E2A3E">
                <wp:simplePos x="0" y="0"/>
                <wp:positionH relativeFrom="column">
                  <wp:posOffset>3175</wp:posOffset>
                </wp:positionH>
                <wp:positionV relativeFrom="paragraph">
                  <wp:posOffset>129540</wp:posOffset>
                </wp:positionV>
                <wp:extent cx="1701165" cy="238125"/>
                <wp:effectExtent l="0" t="0" r="0" b="9525"/>
                <wp:wrapNone/>
                <wp:docPr id="30" name="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238125"/>
                        </a:xfrm>
                        <a:prstGeom prst="rect">
                          <a:avLst/>
                        </a:prstGeom>
                        <a:solidFill>
                          <a:srgbClr val="FF8181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30" o:spid="_x0000_s1026" style="position:absolute;margin-left:.25pt;margin-top:10.2pt;width:133.95pt;height:18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" fillcolor="#ff8181" stroked="f" strokeweight="2pt"/>
            </w:pict>
          </mc:Fallback>
        </mc:AlternateContent>
      </w: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  <w:r w:rsidRPr="00A84F32">
        <w:rPr>
          <w:rFonts w:ascii="Verdana" w:hAnsi="Verdana"/>
          <w:sz w:val="20"/>
        </w:rPr>
        <w:t>Byty, barevný model RGB 255,129,129</w:t>
      </w: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  <w:r w:rsidRPr="00A84F32"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C77CC5" wp14:editId="450A48F0">
                <wp:simplePos x="0" y="0"/>
                <wp:positionH relativeFrom="column">
                  <wp:posOffset>8890</wp:posOffset>
                </wp:positionH>
                <wp:positionV relativeFrom="paragraph">
                  <wp:posOffset>48895</wp:posOffset>
                </wp:positionV>
                <wp:extent cx="1701165" cy="238125"/>
                <wp:effectExtent l="0" t="0" r="0" b="9525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238125"/>
                        </a:xfrm>
                        <a:prstGeom prst="rect">
                          <a:avLst/>
                        </a:prstGeom>
                        <a:solidFill>
                          <a:srgbClr val="B6793C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31" o:spid="_x0000_s1026" style="position:absolute;margin-left:.7pt;margin-top:3.85pt;width:133.95pt;height:18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" fillcolor="#b6793c" stroked="f" strokeweight="2pt"/>
            </w:pict>
          </mc:Fallback>
        </mc:AlternateContent>
      </w:r>
      <w:r w:rsidRPr="00A84F32">
        <w:rPr>
          <w:rFonts w:ascii="Verdana" w:hAnsi="Verdana"/>
          <w:sz w:val="20"/>
        </w:rPr>
        <w:t xml:space="preserve">Prostory pro municipality (městská infocentra, městská </w:t>
      </w:r>
      <w:proofErr w:type="spellStart"/>
      <w:r w:rsidRPr="00A84F32">
        <w:rPr>
          <w:rFonts w:ascii="Verdana" w:hAnsi="Verdana"/>
          <w:sz w:val="20"/>
        </w:rPr>
        <w:t>knihova</w:t>
      </w:r>
      <w:proofErr w:type="spellEnd"/>
      <w:r w:rsidRPr="00A84F32">
        <w:rPr>
          <w:rFonts w:ascii="Verdana" w:hAnsi="Verdana"/>
          <w:sz w:val="20"/>
        </w:rPr>
        <w:t>, muzea provozovaná městem či kraji), barevný model RGB 182,121,60</w:t>
      </w: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  <w:r w:rsidRPr="00A84F32"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9D01F2" wp14:editId="406063D3">
                <wp:simplePos x="0" y="0"/>
                <wp:positionH relativeFrom="column">
                  <wp:posOffset>10160</wp:posOffset>
                </wp:positionH>
                <wp:positionV relativeFrom="paragraph">
                  <wp:posOffset>31145</wp:posOffset>
                </wp:positionV>
                <wp:extent cx="1701165" cy="238125"/>
                <wp:effectExtent l="0" t="0" r="0" b="9525"/>
                <wp:wrapNone/>
                <wp:docPr id="32" name="Obdélní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238125"/>
                        </a:xfrm>
                        <a:prstGeom prst="rect">
                          <a:avLst/>
                        </a:prstGeom>
                        <a:solidFill>
                          <a:srgbClr val="C9BED8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32" o:spid="_x0000_s1026" style="position:absolute;margin-left:.8pt;margin-top:2.45pt;width:133.95pt;height:18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" fillcolor="#c9bed8" stroked="f" strokeweight="2pt"/>
            </w:pict>
          </mc:Fallback>
        </mc:AlternateContent>
      </w:r>
      <w:r w:rsidRPr="00A84F32">
        <w:rPr>
          <w:rFonts w:ascii="Verdana" w:hAnsi="Verdana"/>
          <w:sz w:val="20"/>
        </w:rPr>
        <w:t>Prostory pro využití orgány státní správy, barevný model RGB 201,190,216</w:t>
      </w: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</w:p>
    <w:p w:rsidR="00C61F3F" w:rsidRPr="00A84F32" w:rsidRDefault="00C61F3F" w:rsidP="00C61F3F">
      <w:pPr>
        <w:tabs>
          <w:tab w:val="left" w:pos="2977"/>
          <w:tab w:val="left" w:pos="6379"/>
        </w:tabs>
        <w:ind w:left="2977"/>
        <w:rPr>
          <w:rFonts w:ascii="Verdana" w:hAnsi="Verdana"/>
          <w:sz w:val="20"/>
        </w:rPr>
      </w:pPr>
      <w:r w:rsidRPr="00A84F32"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CE2775C" wp14:editId="2709D8DE">
                <wp:simplePos x="0" y="0"/>
                <wp:positionH relativeFrom="column">
                  <wp:posOffset>13335</wp:posOffset>
                </wp:positionH>
                <wp:positionV relativeFrom="paragraph">
                  <wp:posOffset>20659</wp:posOffset>
                </wp:positionV>
                <wp:extent cx="1701165" cy="238125"/>
                <wp:effectExtent l="0" t="0" r="0" b="9525"/>
                <wp:wrapNone/>
                <wp:docPr id="33" name="Obdélní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2381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33" o:spid="_x0000_s1026" style="position:absolute;margin-left:1.05pt;margin-top:1.65pt;width:133.95pt;height:18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" fillcolor="#bfbfbf" stroked="f" strokeweight="2pt"/>
            </w:pict>
          </mc:Fallback>
        </mc:AlternateContent>
      </w:r>
      <w:r w:rsidRPr="00A84F32">
        <w:rPr>
          <w:rFonts w:ascii="Verdana" w:hAnsi="Verdana"/>
          <w:sz w:val="20"/>
        </w:rPr>
        <w:t>Nevyužité prostory, barevný model RGB 191,191,191</w:t>
      </w:r>
    </w:p>
    <w:p w:rsidR="00C61F3F" w:rsidRPr="00A84F32" w:rsidRDefault="00C61F3F" w:rsidP="00C61F3F">
      <w:pPr>
        <w:suppressAutoHyphens/>
        <w:spacing w:after="120"/>
        <w:rPr>
          <w:rFonts w:ascii="Verdana" w:hAnsi="Verdana"/>
          <w:sz w:val="18"/>
          <w:szCs w:val="22"/>
        </w:rPr>
      </w:pPr>
    </w:p>
    <w:p w:rsidR="00C61F3F" w:rsidRPr="00A84F32" w:rsidRDefault="00C61F3F" w:rsidP="00C61F3F">
      <w:pPr>
        <w:suppressAutoHyphens/>
        <w:spacing w:after="120"/>
        <w:jc w:val="both"/>
        <w:rPr>
          <w:rFonts w:ascii="Verdana" w:hAnsi="Verdana"/>
          <w:i/>
          <w:sz w:val="20"/>
        </w:rPr>
      </w:pPr>
    </w:p>
    <w:p w:rsidR="00C61F3F" w:rsidRPr="00A84F32" w:rsidRDefault="00C61F3F" w:rsidP="00A84F32">
      <w:pPr>
        <w:suppressAutoHyphens/>
        <w:spacing w:after="120"/>
        <w:rPr>
          <w:rFonts w:ascii="Verdana" w:hAnsi="Verdana"/>
          <w:sz w:val="18"/>
          <w:szCs w:val="22"/>
        </w:rPr>
      </w:pPr>
    </w:p>
    <w:p w:rsidR="00C61F3F" w:rsidRPr="00A84F32" w:rsidRDefault="00C61F3F" w:rsidP="008A5EA5">
      <w:pPr>
        <w:suppressAutoHyphens/>
        <w:spacing w:after="120"/>
        <w:jc w:val="right"/>
        <w:rPr>
          <w:rFonts w:ascii="Verdana" w:hAnsi="Verdana"/>
          <w:sz w:val="18"/>
          <w:szCs w:val="22"/>
        </w:rPr>
      </w:pPr>
    </w:p>
    <w:p w:rsidR="00C61F3F" w:rsidRPr="00A84F32" w:rsidRDefault="00C61F3F" w:rsidP="008A5EA5">
      <w:pPr>
        <w:suppressAutoHyphens/>
        <w:spacing w:after="120"/>
        <w:jc w:val="right"/>
        <w:rPr>
          <w:rFonts w:ascii="Verdana" w:hAnsi="Verdana"/>
          <w:sz w:val="18"/>
          <w:szCs w:val="22"/>
        </w:rPr>
      </w:pPr>
    </w:p>
    <w:p w:rsidR="00C61F3F" w:rsidRPr="00A84F32" w:rsidRDefault="00C61F3F" w:rsidP="008A5EA5">
      <w:pPr>
        <w:suppressAutoHyphens/>
        <w:spacing w:after="120"/>
        <w:jc w:val="right"/>
        <w:rPr>
          <w:rFonts w:ascii="Verdana" w:hAnsi="Verdana"/>
          <w:sz w:val="18"/>
          <w:szCs w:val="22"/>
        </w:rPr>
      </w:pPr>
    </w:p>
    <w:p w:rsidR="00C61F3F" w:rsidRPr="00A84F32" w:rsidRDefault="00C61F3F" w:rsidP="008A5EA5">
      <w:pPr>
        <w:suppressAutoHyphens/>
        <w:spacing w:after="120"/>
        <w:jc w:val="right"/>
        <w:rPr>
          <w:rFonts w:ascii="Verdana" w:hAnsi="Verdana"/>
          <w:sz w:val="18"/>
          <w:szCs w:val="22"/>
        </w:rPr>
      </w:pPr>
    </w:p>
    <w:p w:rsidR="00AA7A4E" w:rsidRDefault="00AA7A4E" w:rsidP="00A84F32">
      <w:pPr>
        <w:suppressAutoHyphens/>
        <w:spacing w:after="120"/>
        <w:rPr>
          <w:rFonts w:ascii="Verdana" w:hAnsi="Verdana"/>
          <w:b/>
          <w:sz w:val="22"/>
          <w:szCs w:val="28"/>
        </w:rPr>
        <w:sectPr w:rsidR="00AA7A4E" w:rsidSect="00AA7A4E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0A4322" w:rsidRPr="00A84F32" w:rsidRDefault="000A4322" w:rsidP="00A84F32">
      <w:pPr>
        <w:suppressAutoHyphens/>
        <w:spacing w:after="120"/>
        <w:rPr>
          <w:rFonts w:ascii="Verdana" w:hAnsi="Verdana"/>
          <w:b/>
          <w:sz w:val="22"/>
          <w:szCs w:val="28"/>
        </w:rPr>
      </w:pPr>
      <w:r w:rsidRPr="00A84F32">
        <w:rPr>
          <w:rFonts w:ascii="Verdana" w:hAnsi="Verdana"/>
          <w:b/>
          <w:sz w:val="22"/>
          <w:szCs w:val="28"/>
        </w:rPr>
        <w:lastRenderedPageBreak/>
        <w:t xml:space="preserve">Příloha č. 2 </w:t>
      </w:r>
    </w:p>
    <w:p w:rsidR="000A4322" w:rsidRPr="00A84F32" w:rsidRDefault="000A4322" w:rsidP="00A84F32">
      <w:pPr>
        <w:pStyle w:val="Nadpis2"/>
        <w:suppressAutoHyphens/>
        <w:spacing w:before="240" w:after="120"/>
        <w:rPr>
          <w:rFonts w:ascii="Verdana" w:hAnsi="Verdana" w:cs="Times New Roman"/>
          <w:sz w:val="20"/>
          <w:szCs w:val="24"/>
        </w:rPr>
      </w:pPr>
      <w:bookmarkStart w:id="1" w:name="_Toc526452391"/>
      <w:r w:rsidRPr="00A84F32">
        <w:rPr>
          <w:rFonts w:ascii="Verdana" w:hAnsi="Verdana" w:cs="Times New Roman"/>
          <w:sz w:val="20"/>
          <w:szCs w:val="24"/>
        </w:rPr>
        <w:t>Stavební připravenost nemovitostí</w:t>
      </w:r>
      <w:bookmarkEnd w:id="1"/>
    </w:p>
    <w:p w:rsidR="000A4322" w:rsidRPr="00A84F32" w:rsidRDefault="000A4322" w:rsidP="000A4322">
      <w:p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>Vzhledem ke skutečnosti, že z prostředků zajišťovaných SFDI nebudou financovány všechny stavební práce v rámci budov osobních nádraží, je nezbytné definovat stavební připravenost pro jednotlivé funkce.</w:t>
      </w:r>
    </w:p>
    <w:p w:rsidR="000A4322" w:rsidRPr="00A84F32" w:rsidRDefault="000A4322" w:rsidP="000A4322">
      <w:p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 xml:space="preserve">Funkce jsou rozděleny následujícím způsobem: </w:t>
      </w:r>
    </w:p>
    <w:p w:rsidR="000A4322" w:rsidRPr="00A84F32" w:rsidRDefault="000A4322" w:rsidP="000A4322">
      <w:pPr>
        <w:pStyle w:val="Odstavecseseznamem"/>
        <w:numPr>
          <w:ilvl w:val="0"/>
          <w:numId w:val="39"/>
        </w:num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>využití spojené s provozováním dráhy – jedná se zejména o technologické prostory, funkce spojené s provozováním dráhy a její údržbou, prostory užívané pro funkce řízení provozu a související funkce zahrnující hygienická zařízení, denní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>místnosti a  také kancelářské prostory spojené s těmito funkcemi,</w:t>
      </w:r>
    </w:p>
    <w:p w:rsidR="000A4322" w:rsidRPr="00A84F32" w:rsidRDefault="000A4322" w:rsidP="000A4322">
      <w:pPr>
        <w:pStyle w:val="Odstavecseseznamem"/>
        <w:numPr>
          <w:ilvl w:val="0"/>
          <w:numId w:val="39"/>
        </w:num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>využití spojené s provozováním drážní dopravy – jedná se zejména o prodejny jízdenek dopravců, nákladní pokladny, nocležny dopravců, kanceláře a související prostory hygienické apod. (pozn.: pouze pokladny, úschovny zavazadel, další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>prostory po služby dopravců a související prostory jsou součástí zařízení služeb dle vyhlášky č. 76/2017 Sb., ostatní prostory jsou z hlediska charakteru komerčními plochami)</w:t>
      </w:r>
    </w:p>
    <w:p w:rsidR="000A4322" w:rsidRPr="00A84F32" w:rsidRDefault="000A4322" w:rsidP="000A4322">
      <w:pPr>
        <w:pStyle w:val="Odstavecseseznamem"/>
        <w:numPr>
          <w:ilvl w:val="0"/>
          <w:numId w:val="39"/>
        </w:num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>komerční plochy bez vazby na provozování drážní dopravy – jedná se zejména o  prodejny občerstvení, tisku atd., kanceláře mimo drážní provoz včetně kanceláří policie, místní samosprávy apod. Tzn. u prostor pro využití ÚZSVM se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>nepředpokládá specifický přístup.</w:t>
      </w:r>
    </w:p>
    <w:p w:rsidR="000A4322" w:rsidRPr="00A84F32" w:rsidRDefault="000A4322" w:rsidP="000A4322">
      <w:pPr>
        <w:pStyle w:val="Odstavecseseznamem"/>
        <w:numPr>
          <w:ilvl w:val="0"/>
          <w:numId w:val="39"/>
        </w:num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>byty</w:t>
      </w:r>
    </w:p>
    <w:p w:rsidR="000A4322" w:rsidRPr="00A84F32" w:rsidRDefault="000A4322" w:rsidP="000A4322">
      <w:pPr>
        <w:suppressAutoHyphens/>
        <w:spacing w:before="200"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>Specifikace stavební připravenosti je rozlišena podle jednotlivých typů prostorů. Vždy se  předpokládá použití materiálů a výrobků v běžném standardu, tj. výrobky běžně dostupné na trhu v základních materiálech, rozměrech, kvalitě a barevnosti, jejichž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 xml:space="preserve">montáž případně pokládka je bez dalších příplatků.  </w:t>
      </w:r>
    </w:p>
    <w:p w:rsidR="000A4322" w:rsidRPr="00A84F32" w:rsidRDefault="000A4322" w:rsidP="00A84F32">
      <w:pPr>
        <w:pStyle w:val="Nadpis2"/>
        <w:suppressAutoHyphens/>
        <w:spacing w:before="240" w:after="120"/>
        <w:rPr>
          <w:rFonts w:ascii="Verdana" w:hAnsi="Verdana" w:cs="Times New Roman"/>
          <w:sz w:val="20"/>
          <w:szCs w:val="24"/>
        </w:rPr>
      </w:pPr>
      <w:bookmarkStart w:id="2" w:name="_Toc526452392"/>
      <w:r w:rsidRPr="00A84F32">
        <w:rPr>
          <w:rFonts w:ascii="Verdana" w:hAnsi="Verdana" w:cs="Times New Roman"/>
          <w:sz w:val="20"/>
          <w:szCs w:val="24"/>
        </w:rPr>
        <w:t>Využití spojené s provozováním dráhy</w:t>
      </w:r>
      <w:bookmarkEnd w:id="2"/>
    </w:p>
    <w:p w:rsidR="000A4322" w:rsidRPr="00A84F32" w:rsidRDefault="000A4322" w:rsidP="000A4322">
      <w:p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>Pro využití spojené s provozováním dráhy je stavební připravenost zřejmá a není nutné ji  definovat – vyplývá z dosavadních postupů. To znamená, že stavební připravenost je kompletní pro nastěhování vybavení a technologického zařízení. V rámci kolaudace správce dodává pouze vybavení přenosné typu hasicí přístroje, některé vybavení sociálních zařízení (držáky toaletního papíru, mýdelníky apod.). V rámci uvedení do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>užívání správce dodává další veškerý nábytek a vybavení, kromě nábytku vztaženého k technologickému zařízení, které je instalováno v rámci stavby (např. stoly pro pracoviště řízení dopravy).</w:t>
      </w:r>
    </w:p>
    <w:p w:rsidR="000A4322" w:rsidRPr="00A84F32" w:rsidRDefault="000A4322" w:rsidP="00A84F32">
      <w:pPr>
        <w:pStyle w:val="Nadpis2"/>
        <w:suppressAutoHyphens/>
        <w:spacing w:before="240" w:after="120"/>
        <w:rPr>
          <w:rFonts w:ascii="Verdana" w:hAnsi="Verdana" w:cs="Times New Roman"/>
          <w:sz w:val="20"/>
          <w:szCs w:val="24"/>
        </w:rPr>
      </w:pPr>
      <w:bookmarkStart w:id="3" w:name="_Toc526452393"/>
      <w:r w:rsidRPr="00A84F32">
        <w:rPr>
          <w:rFonts w:ascii="Verdana" w:hAnsi="Verdana" w:cs="Times New Roman"/>
          <w:sz w:val="20"/>
          <w:szCs w:val="24"/>
        </w:rPr>
        <w:t>Využití spojené s provozováním drážní dopravy</w:t>
      </w:r>
      <w:bookmarkEnd w:id="3"/>
    </w:p>
    <w:p w:rsidR="000A4322" w:rsidRPr="00A84F32" w:rsidRDefault="000A4322" w:rsidP="000A4322">
      <w:p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>Pro využití spojené s provozováním drážní dopravy je stavební připravenost definována finálními povrchy a finálními rozvody médií, včetně elektroinstalace přizpůsobené pro napájení a připojení technických zařízení (tj. klasicky zařízení pro prodej jízdních dokladů). Stavební připravenost místností umožňuje okamžité nastěhování vybavení, osazení pultů/stolů prodeje jízdenek atd. (pozn.: stoly jsou součást nábytku a dodává je uživatel, součástí stavby je ale prodejní okénko, resp. přepážka, a to včetně zabezpečení). Svítidla, která jsou součástí stavby (stropní a nástěnná) jsou osazena. Zařizovací předměty v sociálních zařízeních jsou osazeny včetně baterií, nejsou osazeny např. kuchyňské linky v čajových kuchyňkách (tam je pouze vývod pro vodu a odpad). V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>rámci kolaudace budoucí uživatel nebo správce dodává pouze vybavení přenosné typu hasicí přístroje, některé vybavení sociálních zařízení (držáky toaletního papíru, mýdelníky apod.). V rámci uvedení do užívání uživatel dodává veškerý další nábytek a vybavení.</w:t>
      </w:r>
    </w:p>
    <w:p w:rsidR="000A4322" w:rsidRPr="00A84F32" w:rsidRDefault="000A4322" w:rsidP="000A4322">
      <w:p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 xml:space="preserve">V koncepci jsou uvažovány i prostory jiných rezortů státní správy, popř. samosprávy, které jsou spojeny s provozováním drážní dopravy. I zde se postupuje dle uvedených principů s tím, že jsou v těchto případech možné i trvalé stavební zásahy zmíněných prostor. Avšak tyto zásahy jdou plně na vrub uživatele, </w:t>
      </w:r>
      <w:proofErr w:type="spellStart"/>
      <w:r w:rsidRPr="00A84F32">
        <w:rPr>
          <w:rFonts w:ascii="Verdana" w:hAnsi="Verdana"/>
          <w:bCs/>
          <w:sz w:val="20"/>
        </w:rPr>
        <w:t>tj</w:t>
      </w:r>
      <w:proofErr w:type="spellEnd"/>
      <w:r w:rsidRPr="00A84F32">
        <w:rPr>
          <w:rFonts w:ascii="Verdana" w:hAnsi="Verdana"/>
          <w:bCs/>
          <w:sz w:val="20"/>
        </w:rPr>
        <w:t xml:space="preserve">, uživatel si je v plné výši bude </w:t>
      </w:r>
      <w:r w:rsidRPr="00A84F32">
        <w:rPr>
          <w:rFonts w:ascii="Verdana" w:hAnsi="Verdana"/>
          <w:bCs/>
          <w:sz w:val="20"/>
        </w:rPr>
        <w:lastRenderedPageBreak/>
        <w:t xml:space="preserve">hradit a budou považovány za </w:t>
      </w:r>
      <w:r w:rsidR="00A65BFE" w:rsidRPr="00A84F32">
        <w:rPr>
          <w:rFonts w:ascii="Verdana" w:hAnsi="Verdana"/>
          <w:bCs/>
          <w:sz w:val="20"/>
        </w:rPr>
        <w:t>nefinanční plnění nájemného</w:t>
      </w:r>
      <w:r w:rsidRPr="00A84F32">
        <w:rPr>
          <w:rFonts w:ascii="Verdana" w:hAnsi="Verdana"/>
          <w:bCs/>
          <w:sz w:val="20"/>
        </w:rPr>
        <w:t>. Jedná se například o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>trezorové místnosti, služebny, prostory pro úschovu zbraní apod.</w:t>
      </w:r>
    </w:p>
    <w:p w:rsidR="000A4322" w:rsidRPr="00A84F32" w:rsidRDefault="000A4322" w:rsidP="00A84F32">
      <w:pPr>
        <w:pStyle w:val="Nadpis2"/>
        <w:suppressAutoHyphens/>
        <w:spacing w:before="240" w:after="120"/>
        <w:rPr>
          <w:rFonts w:ascii="Verdana" w:hAnsi="Verdana" w:cs="Times New Roman"/>
          <w:sz w:val="20"/>
          <w:szCs w:val="24"/>
        </w:rPr>
      </w:pPr>
      <w:bookmarkStart w:id="4" w:name="_Toc526452394"/>
    </w:p>
    <w:p w:rsidR="000A4322" w:rsidRPr="00A84F32" w:rsidRDefault="000A4322" w:rsidP="00A84F32">
      <w:pPr>
        <w:pStyle w:val="Nadpis2"/>
        <w:suppressAutoHyphens/>
        <w:spacing w:before="240" w:after="120"/>
        <w:rPr>
          <w:rFonts w:ascii="Verdana" w:hAnsi="Verdana" w:cs="Times New Roman"/>
          <w:sz w:val="20"/>
          <w:szCs w:val="24"/>
        </w:rPr>
      </w:pPr>
      <w:r w:rsidRPr="00A84F32">
        <w:rPr>
          <w:rFonts w:ascii="Verdana" w:hAnsi="Verdana" w:cs="Times New Roman"/>
          <w:sz w:val="20"/>
          <w:szCs w:val="24"/>
        </w:rPr>
        <w:t>Komerční plochy bez vazby na provozování drážní dopravy</w:t>
      </w:r>
      <w:bookmarkEnd w:id="4"/>
    </w:p>
    <w:p w:rsidR="000A4322" w:rsidRPr="00A84F32" w:rsidRDefault="000A4322" w:rsidP="000A4322">
      <w:p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>Tyto komerční plochy bez vazby na provozování drážní dopravy jsou stavebně připravovány ve dvou standardech. Standard A definuje připravenost malých prostorů s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>jednoduchým provozem a kancelářských prostor. Standard B definuje připravenost větších ploch, u nichž není účelné před získáním nájemníka nebo nájemníků definovat jejich přesné členění, a dále definuje připravenost ploch, u kterých se předpokládá využití s náročnějšími požadavky na splnění hygienických předpisů – standardně se jedná o</w:t>
      </w:r>
      <w:r w:rsidR="00D110A4">
        <w:rPr>
          <w:rFonts w:ascii="Verdana" w:hAnsi="Verdana"/>
          <w:bCs/>
          <w:sz w:val="20"/>
        </w:rPr>
        <w:t> </w:t>
      </w:r>
      <w:proofErr w:type="spellStart"/>
      <w:r w:rsidRPr="00A84F32">
        <w:rPr>
          <w:rFonts w:ascii="Verdana" w:hAnsi="Verdana"/>
          <w:bCs/>
          <w:sz w:val="20"/>
        </w:rPr>
        <w:t>gastroprovozy</w:t>
      </w:r>
      <w:proofErr w:type="spellEnd"/>
      <w:r w:rsidRPr="00A84F32">
        <w:rPr>
          <w:rFonts w:ascii="Verdana" w:hAnsi="Verdana"/>
          <w:bCs/>
          <w:sz w:val="20"/>
        </w:rPr>
        <w:t xml:space="preserve"> nebo prodejny potravinářského zboží.</w:t>
      </w:r>
    </w:p>
    <w:p w:rsidR="000A4322" w:rsidRPr="00A84F32" w:rsidRDefault="000A4322" w:rsidP="000A4322">
      <w:p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>Připravenost typu A zahrnuje: čisté podlahy včetně finální krytiny v budoucí provozovně, vybudování kompletního sociálního zařízení včetně finálních povrchů (obklady, dlažby a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>bílá výmalba, dveře), finální členění prostorů příčkami, osazené výplně otvorů do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 xml:space="preserve">vnějšího prostředí, funkční technické vybavení – elektroinstalace, rozvody vody včetně výtokových prvků v sociálním zařízení, osazené zařizovacími předměty (např. umyvadlo, mísa, výlevka, a pro provozy, kde je požadováno sprchový kout), funkční vzduchotechnika – odvětrání a funkční vytápění (pozn.: odvětrání a vytápění jsou součástí funkčního systému celé budovy, proto musí být vybudovány). Podle místních podmínek je vybudováno oddělení prostoru od zbytku budovy, předpokladem je, že vstupní dveře a </w:t>
      </w:r>
      <w:proofErr w:type="spellStart"/>
      <w:r w:rsidRPr="00A84F32">
        <w:rPr>
          <w:rFonts w:ascii="Verdana" w:hAnsi="Verdana"/>
          <w:bCs/>
          <w:sz w:val="20"/>
        </w:rPr>
        <w:t>výkladec</w:t>
      </w:r>
      <w:proofErr w:type="spellEnd"/>
      <w:r w:rsidRPr="00A84F32">
        <w:rPr>
          <w:rFonts w:ascii="Verdana" w:hAnsi="Verdana"/>
          <w:bCs/>
          <w:sz w:val="20"/>
        </w:rPr>
        <w:t xml:space="preserve"> jsou součástí dodávky uživatele dle jeho požadavků (pozn.: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>v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>tomto případě jde o tzv. zhodnocení budovy, pokud není smluvně dohodnuto, že tyto úpravy si nájemce odstraní po ukončení nájmu). Připouští se i varianta, že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 xml:space="preserve">vstupní dveře a </w:t>
      </w:r>
      <w:proofErr w:type="spellStart"/>
      <w:r w:rsidRPr="00A84F32">
        <w:rPr>
          <w:rFonts w:ascii="Verdana" w:hAnsi="Verdana"/>
          <w:bCs/>
          <w:sz w:val="20"/>
        </w:rPr>
        <w:t>výkladec</w:t>
      </w:r>
      <w:proofErr w:type="spellEnd"/>
      <w:r w:rsidRPr="00A84F32">
        <w:rPr>
          <w:rFonts w:ascii="Verdana" w:hAnsi="Verdana"/>
          <w:bCs/>
          <w:sz w:val="20"/>
        </w:rPr>
        <w:t xml:space="preserve"> jsou součástí architektonického řešení prostoru, v tomto případě jsou dodávkou stavby. Měření médií je zajištěno zpravidla podružnými měřidly, případně si nájemce zajistí osazení elektroměru. </w:t>
      </w:r>
    </w:p>
    <w:p w:rsidR="000A4322" w:rsidRPr="00A84F32" w:rsidRDefault="000A4322" w:rsidP="000A4322">
      <w:p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>Připravenost typu B zahrnuje: hrubé podlahy bez finální stěrky a povrchu, hrubé povrchy obvodových stěn, osazení okenních výplní (z důvodu zajištění funkce celé budovy), oddělení od ostatního prostoru budovy je zajištěno provizorně s předpokladem dobudování nájemcem (pouze v případech, kdy je zřejmé, že poloha oddělení je finální a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>neexistuje variabilita v umístění a vybavení otvorů, je oddělení ve finální podobě). Rovněž se předpokládá dobudování finálního členění prostorů nájemcem nebo nájemci. Technické vybavení je dobudováno tzv. „na patu“ – tzn. zajištění přívodu vody po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 xml:space="preserve">vodoměr jednotky, zajištění místa napojení na kanalizaci, dovedení elektrické energie do rozvaděče jednotky. Z důvodu funkčnosti budovy je osazeno vytápění (s možností úprav). Vzduchotechnika je z důvodu rozdílných hygienických požadavků jednotlivých typů provozů řešena pouze trasou skrz objekt a možností napojení. </w:t>
      </w:r>
    </w:p>
    <w:p w:rsidR="000A4322" w:rsidRPr="00A84F32" w:rsidRDefault="000A4322" w:rsidP="000A4322">
      <w:p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 xml:space="preserve">U prostorů typu A zajištuje správce/investor kolaudaci pouze prostorů s jednoznačně určeným využitím (např. kanceláře). U ostatních prostorů včetně všech prostorů typu B zajišťuje kolaudaci nájemce konkrétního prostoru. </w:t>
      </w:r>
    </w:p>
    <w:p w:rsidR="000A4322" w:rsidRPr="00A84F32" w:rsidRDefault="000A4322" w:rsidP="000A4322">
      <w:p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 xml:space="preserve">Investice do dobudování prostoru jsou zčásti tzv. technických zhodnocením objektu, které je předmětem vyrovnání po ukončení nájmu nebo v rámci vybíraného nájemného. </w:t>
      </w:r>
    </w:p>
    <w:p w:rsidR="000A4322" w:rsidRPr="00A84F32" w:rsidRDefault="000A4322" w:rsidP="00A84F32">
      <w:pPr>
        <w:pStyle w:val="Nadpis2"/>
        <w:suppressAutoHyphens/>
        <w:spacing w:before="240" w:after="120"/>
        <w:rPr>
          <w:rFonts w:ascii="Verdana" w:hAnsi="Verdana" w:cs="Times New Roman"/>
          <w:sz w:val="20"/>
          <w:szCs w:val="24"/>
        </w:rPr>
      </w:pPr>
      <w:bookmarkStart w:id="5" w:name="_Toc526452395"/>
      <w:r w:rsidRPr="00A84F32">
        <w:rPr>
          <w:rFonts w:ascii="Verdana" w:hAnsi="Verdana" w:cs="Times New Roman"/>
          <w:sz w:val="20"/>
          <w:szCs w:val="24"/>
        </w:rPr>
        <w:t>Byty</w:t>
      </w:r>
      <w:bookmarkEnd w:id="5"/>
    </w:p>
    <w:p w:rsidR="000A4322" w:rsidRPr="00A84F32" w:rsidRDefault="000A4322" w:rsidP="000A4322">
      <w:p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 xml:space="preserve">Bytová jednotka musí být při uzavření nájemní smlouvy zkolaudovaná, respektive musí jít o prostor určený k účelu užívání bydlení. Tato skutečnost vyplývá z § 2236 zákona č. 89/2012 Sb., občanský zákoník. Na této skutečnosti nic nemění ustanovení § 2242 odst. (2) Občanského zákoníku, kde je upravena skutečnost, že byt není způsobilý k obývání – musí jít ale o byt, tedy prostor určený (tj. kolaudovaný) k bydlení. Z této skutečnosti vyplývají některé základní požadavky na minimální stavební připravenost bytu. </w:t>
      </w:r>
    </w:p>
    <w:p w:rsidR="000A4322" w:rsidRPr="00A84F32" w:rsidRDefault="000A4322" w:rsidP="000A4322">
      <w:p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>Vzhledem k požadavkům vyhlášky č. 268/2009 Sb., o technických požadavcích na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 xml:space="preserve">stavby, je nutné, aby byt obsahoval alespoň jednu záchodovou mísu a jednu koupelnu (§10, odst. 6). Tato vyhláška se sice vztahuje na stavby, které náleží do působnosti </w:t>
      </w:r>
      <w:r w:rsidRPr="00A84F32">
        <w:rPr>
          <w:rFonts w:ascii="Verdana" w:hAnsi="Verdana"/>
          <w:bCs/>
          <w:sz w:val="20"/>
        </w:rPr>
        <w:lastRenderedPageBreak/>
        <w:t>obecných stavebních úřadů, nicméně budova osobního nádraží nemusí být nutně stavbou dráhy, ale může být i stavbou na dráze (viz § 5 zákona č. 266/1994 Sb., o dráhách), v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>tom případě spadá do působnosti obecného stavebního úřadu.</w:t>
      </w:r>
    </w:p>
    <w:p w:rsidR="000A4322" w:rsidRPr="00A84F32" w:rsidRDefault="000A4322" w:rsidP="000A4322">
      <w:pPr>
        <w:suppressAutoHyphens/>
        <w:jc w:val="both"/>
        <w:rPr>
          <w:rFonts w:ascii="Verdana" w:hAnsi="Verdana"/>
          <w:bCs/>
          <w:sz w:val="20"/>
        </w:rPr>
      </w:pPr>
      <w:r w:rsidRPr="00A84F32">
        <w:rPr>
          <w:rFonts w:ascii="Verdana" w:hAnsi="Verdana"/>
          <w:bCs/>
          <w:sz w:val="20"/>
        </w:rPr>
        <w:t xml:space="preserve">Pro navrhování obytných budov nebo obytných částí budov dále platí ČSN 73 4301 Obytné budovy, ze které vyplývá: obytná místnost musí být vytápěna (čl. 5.2.2.1), vybavení kuchyně musí být pouze možno instalovat (čl. 5.2.3.6), dále definuje, která technická zařízení musí být instalována, aby byla budova vhodná k užívání (tj. </w:t>
      </w:r>
      <w:proofErr w:type="spellStart"/>
      <w:r w:rsidRPr="00A84F32">
        <w:rPr>
          <w:rFonts w:ascii="Verdana" w:hAnsi="Verdana"/>
          <w:bCs/>
          <w:sz w:val="20"/>
        </w:rPr>
        <w:t>zkolaudovatelná</w:t>
      </w:r>
      <w:proofErr w:type="spellEnd"/>
      <w:r w:rsidRPr="00A84F32">
        <w:rPr>
          <w:rFonts w:ascii="Verdana" w:hAnsi="Verdana"/>
          <w:bCs/>
          <w:sz w:val="20"/>
        </w:rPr>
        <w:t>) – jedná se o vnitřní kanalizace a vodovod, vytápění, větrání, plynová odběrná zařízení (v případě sporáku je možno uvažovat s možností instalace), elektrické rozvody, EPS a EZS. Pro svítidla v koupelně a v kuchyni nad kuchyňskou linkou jsou stanoveny závazné parametry.</w:t>
      </w:r>
    </w:p>
    <w:p w:rsidR="000A4322" w:rsidRPr="00A84F32" w:rsidRDefault="000A4322" w:rsidP="000A4322">
      <w:pPr>
        <w:jc w:val="both"/>
        <w:rPr>
          <w:rFonts w:ascii="Verdana" w:hAnsi="Verdana"/>
          <w:sz w:val="20"/>
        </w:rPr>
      </w:pPr>
      <w:r w:rsidRPr="00A84F32">
        <w:rPr>
          <w:rFonts w:ascii="Verdana" w:hAnsi="Verdana"/>
          <w:bCs/>
          <w:sz w:val="20"/>
        </w:rPr>
        <w:t>Z výše uvedeného vyplývá, že byty budou mít podlahy včetně finální podlahové krytiny v obytných místnostech, vnitřní stěny s (bílou) malbou, v případě hygienického zařízení včetně dlažeb a obkladů a osazených základních zařizovacích předmětů v koupelně (umyvadlo, baterie, vana nebo sprchový kout bez zástěny), osazenou záchodovou mísu. Elektroinstalace je z hlediska rozvodů kompletní, svítidla jsou osazena v koupelně a nad prostorem pro kuchyňkou linku. Výplně otvorů ohraničující byt (vstupní dveře a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>okna) jsou finální, osazeny jsou minimálně dveře oddělující hygienické prostory od</w:t>
      </w:r>
      <w:r w:rsidR="00D110A4">
        <w:rPr>
          <w:rFonts w:ascii="Verdana" w:hAnsi="Verdana"/>
          <w:bCs/>
          <w:sz w:val="20"/>
        </w:rPr>
        <w:t> </w:t>
      </w:r>
      <w:r w:rsidRPr="00A84F32">
        <w:rPr>
          <w:rFonts w:ascii="Verdana" w:hAnsi="Verdana"/>
          <w:bCs/>
          <w:sz w:val="20"/>
        </w:rPr>
        <w:t>obytných místností. Další vybavení (EZS a EPS) dle požadavků příslušných norem. Bude realizováno odvětrání toalety a koupelny, na digestoř pouze příprava. Vytápění bude realizováno v plném rozsahu dle normových hodnot.</w:t>
      </w:r>
    </w:p>
    <w:p w:rsidR="000A4322" w:rsidRPr="00A84F32" w:rsidRDefault="000A4322" w:rsidP="008A5EA5">
      <w:pPr>
        <w:suppressAutoHyphens/>
        <w:spacing w:after="120"/>
        <w:jc w:val="right"/>
        <w:rPr>
          <w:rFonts w:ascii="Verdana" w:hAnsi="Verdana"/>
          <w:sz w:val="18"/>
          <w:szCs w:val="22"/>
        </w:rPr>
      </w:pPr>
    </w:p>
    <w:sectPr w:rsidR="000A4322" w:rsidRPr="00A84F32" w:rsidSect="00AA7A4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169" w:rsidRDefault="00975169" w:rsidP="00183456">
      <w:r>
        <w:separator/>
      </w:r>
    </w:p>
  </w:endnote>
  <w:endnote w:type="continuationSeparator" w:id="0">
    <w:p w:rsidR="00975169" w:rsidRDefault="00975169" w:rsidP="00183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157507"/>
      <w:docPartObj>
        <w:docPartGallery w:val="Page Numbers (Bottom of Page)"/>
        <w:docPartUnique/>
      </w:docPartObj>
    </w:sdtPr>
    <w:sdtEndPr/>
    <w:sdtContent>
      <w:p w:rsidR="00AA7A4E" w:rsidRDefault="00AA7A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DF8">
          <w:rPr>
            <w:noProof/>
          </w:rPr>
          <w:t>7</w:t>
        </w:r>
        <w:r>
          <w:fldChar w:fldCharType="end"/>
        </w:r>
      </w:p>
    </w:sdtContent>
  </w:sdt>
  <w:p w:rsidR="00AA7A4E" w:rsidRDefault="00AA7A4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317439"/>
      <w:docPartObj>
        <w:docPartGallery w:val="Page Numbers (Bottom of Page)"/>
        <w:docPartUnique/>
      </w:docPartObj>
    </w:sdtPr>
    <w:sdtEndPr>
      <w:rPr>
        <w:rFonts w:ascii="Verdana" w:hAnsi="Verdana"/>
        <w:sz w:val="18"/>
      </w:rPr>
    </w:sdtEndPr>
    <w:sdtContent>
      <w:p w:rsidR="00AA7A4E" w:rsidRPr="00AA7A4E" w:rsidRDefault="00AA7A4E">
        <w:pPr>
          <w:pStyle w:val="Zpat"/>
          <w:jc w:val="center"/>
          <w:rPr>
            <w:rFonts w:ascii="Verdana" w:hAnsi="Verdana"/>
            <w:sz w:val="18"/>
          </w:rPr>
        </w:pPr>
        <w:r w:rsidRPr="00AA7A4E">
          <w:rPr>
            <w:rFonts w:ascii="Verdana" w:hAnsi="Verdana"/>
            <w:sz w:val="18"/>
          </w:rPr>
          <w:fldChar w:fldCharType="begin"/>
        </w:r>
        <w:r w:rsidRPr="00AA7A4E">
          <w:rPr>
            <w:rFonts w:ascii="Verdana" w:hAnsi="Verdana"/>
            <w:sz w:val="18"/>
          </w:rPr>
          <w:instrText>PAGE   \* MERGEFORMAT</w:instrText>
        </w:r>
        <w:r w:rsidRPr="00AA7A4E">
          <w:rPr>
            <w:rFonts w:ascii="Verdana" w:hAnsi="Verdana"/>
            <w:sz w:val="18"/>
          </w:rPr>
          <w:fldChar w:fldCharType="separate"/>
        </w:r>
        <w:r w:rsidR="00761DF8">
          <w:rPr>
            <w:rFonts w:ascii="Verdana" w:hAnsi="Verdana"/>
            <w:noProof/>
            <w:sz w:val="18"/>
          </w:rPr>
          <w:t>2</w:t>
        </w:r>
        <w:r w:rsidRPr="00AA7A4E">
          <w:rPr>
            <w:rFonts w:ascii="Verdana" w:hAnsi="Verdana"/>
            <w:sz w:val="18"/>
          </w:rPr>
          <w:fldChar w:fldCharType="end"/>
        </w:r>
      </w:p>
    </w:sdtContent>
  </w:sdt>
  <w:p w:rsidR="00AA7A4E" w:rsidRDefault="00AA7A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169" w:rsidRDefault="00975169" w:rsidP="00183456">
      <w:r>
        <w:separator/>
      </w:r>
    </w:p>
  </w:footnote>
  <w:footnote w:type="continuationSeparator" w:id="0">
    <w:p w:rsidR="00975169" w:rsidRDefault="00975169" w:rsidP="00183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A4E" w:rsidRPr="00D110A4" w:rsidRDefault="00AA7A4E">
    <w:pPr>
      <w:pStyle w:val="Zhlav"/>
      <w:rPr>
        <w:rFonts w:ascii="Verdana" w:hAnsi="Verdana"/>
        <w:sz w:val="18"/>
      </w:rPr>
    </w:pPr>
    <w:r w:rsidRPr="00D110A4">
      <w:rPr>
        <w:rFonts w:ascii="Verdana" w:hAnsi="Verdana"/>
        <w:sz w:val="18"/>
      </w:rPr>
      <w:t xml:space="preserve">Zpřesnění </w:t>
    </w:r>
    <w:proofErr w:type="spellStart"/>
    <w:r w:rsidRPr="00D110A4">
      <w:rPr>
        <w:rFonts w:ascii="Verdana" w:hAnsi="Verdana"/>
        <w:sz w:val="18"/>
      </w:rPr>
      <w:t>Sm</w:t>
    </w:r>
    <w:proofErr w:type="spellEnd"/>
    <w:r w:rsidRPr="00D110A4">
      <w:rPr>
        <w:rFonts w:ascii="Verdana" w:hAnsi="Verdana"/>
        <w:sz w:val="18"/>
      </w:rPr>
      <w:t>. V-2/2012 pro účely záměru projektu na budovy ON</w:t>
    </w:r>
    <w:r w:rsidRPr="00D110A4">
      <w:rPr>
        <w:rFonts w:ascii="Verdana" w:hAnsi="Verdana"/>
        <w:sz w:val="1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A4E" w:rsidRPr="00D110A4" w:rsidRDefault="00AA7A4E">
    <w:pPr>
      <w:pStyle w:val="Zhlav"/>
      <w:rPr>
        <w:rFonts w:ascii="Verdana" w:hAnsi="Verdana"/>
        <w:sz w:val="18"/>
      </w:rPr>
    </w:pPr>
    <w:r w:rsidRPr="00D110A4">
      <w:rPr>
        <w:rFonts w:ascii="Verdana" w:hAnsi="Verdana"/>
        <w:sz w:val="18"/>
      </w:rPr>
      <w:t xml:space="preserve">Zpřesnění </w:t>
    </w:r>
    <w:proofErr w:type="spellStart"/>
    <w:r w:rsidRPr="00D110A4">
      <w:rPr>
        <w:rFonts w:ascii="Verdana" w:hAnsi="Verdana"/>
        <w:sz w:val="18"/>
      </w:rPr>
      <w:t>Sm</w:t>
    </w:r>
    <w:proofErr w:type="spellEnd"/>
    <w:r w:rsidRPr="00D110A4">
      <w:rPr>
        <w:rFonts w:ascii="Verdana" w:hAnsi="Verdana"/>
        <w:sz w:val="18"/>
      </w:rPr>
      <w:t>. V-2/2012 pro účely záměru projektu na budovy ON</w:t>
    </w:r>
    <w:r w:rsidRPr="00D110A4">
      <w:rPr>
        <w:rFonts w:ascii="Verdana" w:hAnsi="Verdana"/>
        <w:sz w:val="18"/>
      </w:rPr>
      <w:tab/>
    </w:r>
    <w:r w:rsidR="00D916A7">
      <w:rPr>
        <w:rFonts w:ascii="Verdana" w:hAnsi="Verdana"/>
        <w:sz w:val="18"/>
      </w:rPr>
      <w:t>25. 02. 2019</w:t>
    </w:r>
  </w:p>
  <w:p w:rsidR="00AA7A4E" w:rsidRPr="00D110A4" w:rsidRDefault="00AA7A4E">
    <w:pPr>
      <w:pStyle w:val="Zhlav"/>
      <w:rPr>
        <w:rFonts w:ascii="Verdana" w:hAnsi="Verdana"/>
        <w:sz w:val="18"/>
      </w:rPr>
    </w:pPr>
    <w:r w:rsidRPr="00D110A4">
      <w:rPr>
        <w:rFonts w:ascii="Verdana" w:hAnsi="Verdana"/>
        <w:sz w:val="18"/>
      </w:rPr>
      <w:t xml:space="preserve">Příloha </w:t>
    </w:r>
    <w:proofErr w:type="gramStart"/>
    <w:r w:rsidRPr="00D110A4">
      <w:rPr>
        <w:rFonts w:ascii="Verdana" w:hAnsi="Verdana"/>
        <w:sz w:val="18"/>
      </w:rPr>
      <w:t>č.2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6E27"/>
    <w:multiLevelType w:val="hybridMultilevel"/>
    <w:tmpl w:val="ABE05E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93A9E"/>
    <w:multiLevelType w:val="hybridMultilevel"/>
    <w:tmpl w:val="228A5A7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D35679"/>
    <w:multiLevelType w:val="hybridMultilevel"/>
    <w:tmpl w:val="5336AAEA"/>
    <w:lvl w:ilvl="0" w:tplc="90A23C68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B671069"/>
    <w:multiLevelType w:val="hybridMultilevel"/>
    <w:tmpl w:val="9A8EAD80"/>
    <w:lvl w:ilvl="0" w:tplc="90A23C68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F708A2"/>
    <w:multiLevelType w:val="hybridMultilevel"/>
    <w:tmpl w:val="BB52E968"/>
    <w:lvl w:ilvl="0" w:tplc="654685A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A5FBC"/>
    <w:multiLevelType w:val="hybridMultilevel"/>
    <w:tmpl w:val="9578AA26"/>
    <w:lvl w:ilvl="0" w:tplc="0AC224A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61D4C"/>
    <w:multiLevelType w:val="hybridMultilevel"/>
    <w:tmpl w:val="521C8D1A"/>
    <w:lvl w:ilvl="0" w:tplc="CB6C70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0640BF"/>
    <w:multiLevelType w:val="hybridMultilevel"/>
    <w:tmpl w:val="8CE0FD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7E217D"/>
    <w:multiLevelType w:val="hybridMultilevel"/>
    <w:tmpl w:val="2A5A343E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770A2B78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B024083"/>
    <w:multiLevelType w:val="hybridMultilevel"/>
    <w:tmpl w:val="551EBBB6"/>
    <w:lvl w:ilvl="0" w:tplc="90A23C68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B9E3803"/>
    <w:multiLevelType w:val="hybridMultilevel"/>
    <w:tmpl w:val="0370270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CDF5D2E"/>
    <w:multiLevelType w:val="multilevel"/>
    <w:tmpl w:val="D7D46C08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D853F1F"/>
    <w:multiLevelType w:val="hybridMultilevel"/>
    <w:tmpl w:val="F502082E"/>
    <w:lvl w:ilvl="0" w:tplc="B1BC18C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20C72578"/>
    <w:multiLevelType w:val="hybridMultilevel"/>
    <w:tmpl w:val="6F1ACB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3B220ED"/>
    <w:multiLevelType w:val="hybridMultilevel"/>
    <w:tmpl w:val="20B423F8"/>
    <w:lvl w:ilvl="0" w:tplc="9140A7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15A8E"/>
    <w:multiLevelType w:val="hybridMultilevel"/>
    <w:tmpl w:val="9FB6A076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26CC071D"/>
    <w:multiLevelType w:val="hybridMultilevel"/>
    <w:tmpl w:val="37DA1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0A40C5"/>
    <w:multiLevelType w:val="hybridMultilevel"/>
    <w:tmpl w:val="1EBA259A"/>
    <w:lvl w:ilvl="0" w:tplc="7B40C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6864D9"/>
    <w:multiLevelType w:val="multilevel"/>
    <w:tmpl w:val="4F9CA3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9">
    <w:nsid w:val="2FAF7EED"/>
    <w:multiLevelType w:val="hybridMultilevel"/>
    <w:tmpl w:val="27A2FA80"/>
    <w:lvl w:ilvl="0" w:tplc="90A23C68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29F29E8"/>
    <w:multiLevelType w:val="hybridMultilevel"/>
    <w:tmpl w:val="87589AE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39B76BC"/>
    <w:multiLevelType w:val="hybridMultilevel"/>
    <w:tmpl w:val="5442BF00"/>
    <w:lvl w:ilvl="0" w:tplc="56AC87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A84FC8"/>
    <w:multiLevelType w:val="hybridMultilevel"/>
    <w:tmpl w:val="D7DC9C6C"/>
    <w:lvl w:ilvl="0" w:tplc="90A23C68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4C74247"/>
    <w:multiLevelType w:val="hybridMultilevel"/>
    <w:tmpl w:val="B8C27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74EBC"/>
    <w:multiLevelType w:val="hybridMultilevel"/>
    <w:tmpl w:val="8402A52C"/>
    <w:lvl w:ilvl="0" w:tplc="B6DED8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3C380B"/>
    <w:multiLevelType w:val="multilevel"/>
    <w:tmpl w:val="9C1EDA1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C244A56"/>
    <w:multiLevelType w:val="hybridMultilevel"/>
    <w:tmpl w:val="265622D2"/>
    <w:lvl w:ilvl="0" w:tplc="90A23C6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E3445E"/>
    <w:multiLevelType w:val="hybridMultilevel"/>
    <w:tmpl w:val="266AF33C"/>
    <w:lvl w:ilvl="0" w:tplc="733C22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A56308"/>
    <w:multiLevelType w:val="hybridMultilevel"/>
    <w:tmpl w:val="1BE8049A"/>
    <w:lvl w:ilvl="0" w:tplc="5A24781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5A2179F1"/>
    <w:multiLevelType w:val="hybridMultilevel"/>
    <w:tmpl w:val="31EA6F7E"/>
    <w:lvl w:ilvl="0" w:tplc="09E61FCC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>
    <w:nsid w:val="5F3833D1"/>
    <w:multiLevelType w:val="hybridMultilevel"/>
    <w:tmpl w:val="279ACD20"/>
    <w:lvl w:ilvl="0" w:tplc="F2FA2A46">
      <w:start w:val="3"/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49E5DF8"/>
    <w:multiLevelType w:val="hybridMultilevel"/>
    <w:tmpl w:val="E1A65C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7C6804"/>
    <w:multiLevelType w:val="hybridMultilevel"/>
    <w:tmpl w:val="79D45CF8"/>
    <w:lvl w:ilvl="0" w:tplc="F2FA2A46">
      <w:start w:val="3"/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F585FFE"/>
    <w:multiLevelType w:val="multilevel"/>
    <w:tmpl w:val="B7DE5D6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15C18F5"/>
    <w:multiLevelType w:val="multilevel"/>
    <w:tmpl w:val="2B5AA682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725C7A00"/>
    <w:multiLevelType w:val="hybridMultilevel"/>
    <w:tmpl w:val="632C0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6B58DC"/>
    <w:multiLevelType w:val="hybridMultilevel"/>
    <w:tmpl w:val="9D203B0C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E363CC"/>
    <w:multiLevelType w:val="hybridMultilevel"/>
    <w:tmpl w:val="A95A8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7B0D22"/>
    <w:multiLevelType w:val="hybridMultilevel"/>
    <w:tmpl w:val="1D2C611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F884808"/>
    <w:multiLevelType w:val="hybridMultilevel"/>
    <w:tmpl w:val="521C8D1A"/>
    <w:lvl w:ilvl="0" w:tplc="CB6C70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32"/>
  </w:num>
  <w:num w:numId="4">
    <w:abstractNumId w:val="30"/>
  </w:num>
  <w:num w:numId="5">
    <w:abstractNumId w:val="21"/>
  </w:num>
  <w:num w:numId="6">
    <w:abstractNumId w:val="4"/>
  </w:num>
  <w:num w:numId="7">
    <w:abstractNumId w:val="26"/>
  </w:num>
  <w:num w:numId="8">
    <w:abstractNumId w:val="2"/>
  </w:num>
  <w:num w:numId="9">
    <w:abstractNumId w:val="39"/>
  </w:num>
  <w:num w:numId="10">
    <w:abstractNumId w:val="38"/>
  </w:num>
  <w:num w:numId="11">
    <w:abstractNumId w:val="12"/>
  </w:num>
  <w:num w:numId="12">
    <w:abstractNumId w:val="9"/>
  </w:num>
  <w:num w:numId="13">
    <w:abstractNumId w:val="28"/>
  </w:num>
  <w:num w:numId="14">
    <w:abstractNumId w:val="22"/>
  </w:num>
  <w:num w:numId="15">
    <w:abstractNumId w:val="15"/>
  </w:num>
  <w:num w:numId="16">
    <w:abstractNumId w:val="1"/>
  </w:num>
  <w:num w:numId="17">
    <w:abstractNumId w:val="20"/>
  </w:num>
  <w:num w:numId="18">
    <w:abstractNumId w:val="3"/>
  </w:num>
  <w:num w:numId="19">
    <w:abstractNumId w:val="10"/>
  </w:num>
  <w:num w:numId="20">
    <w:abstractNumId w:val="19"/>
  </w:num>
  <w:num w:numId="21">
    <w:abstractNumId w:val="13"/>
  </w:num>
  <w:num w:numId="22">
    <w:abstractNumId w:val="18"/>
  </w:num>
  <w:num w:numId="23">
    <w:abstractNumId w:val="36"/>
  </w:num>
  <w:num w:numId="24">
    <w:abstractNumId w:val="33"/>
  </w:num>
  <w:num w:numId="25">
    <w:abstractNumId w:val="34"/>
  </w:num>
  <w:num w:numId="26">
    <w:abstractNumId w:val="11"/>
  </w:num>
  <w:num w:numId="27">
    <w:abstractNumId w:val="25"/>
  </w:num>
  <w:num w:numId="28">
    <w:abstractNumId w:val="7"/>
  </w:num>
  <w:num w:numId="29">
    <w:abstractNumId w:val="16"/>
  </w:num>
  <w:num w:numId="30">
    <w:abstractNumId w:val="31"/>
  </w:num>
  <w:num w:numId="31">
    <w:abstractNumId w:val="14"/>
  </w:num>
  <w:num w:numId="32">
    <w:abstractNumId w:val="29"/>
  </w:num>
  <w:num w:numId="33">
    <w:abstractNumId w:val="37"/>
  </w:num>
  <w:num w:numId="34">
    <w:abstractNumId w:val="17"/>
  </w:num>
  <w:num w:numId="35">
    <w:abstractNumId w:val="27"/>
  </w:num>
  <w:num w:numId="36">
    <w:abstractNumId w:val="24"/>
  </w:num>
  <w:num w:numId="37">
    <w:abstractNumId w:val="23"/>
  </w:num>
  <w:num w:numId="38">
    <w:abstractNumId w:val="5"/>
  </w:num>
  <w:num w:numId="39">
    <w:abstractNumId w:val="35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BB"/>
    <w:rsid w:val="00001527"/>
    <w:rsid w:val="000039C8"/>
    <w:rsid w:val="000204ED"/>
    <w:rsid w:val="00021787"/>
    <w:rsid w:val="00024301"/>
    <w:rsid w:val="00025A56"/>
    <w:rsid w:val="000324A3"/>
    <w:rsid w:val="000411E2"/>
    <w:rsid w:val="00042421"/>
    <w:rsid w:val="000441DC"/>
    <w:rsid w:val="000453C2"/>
    <w:rsid w:val="00046CF4"/>
    <w:rsid w:val="0005572A"/>
    <w:rsid w:val="00062728"/>
    <w:rsid w:val="000705B5"/>
    <w:rsid w:val="00082AC7"/>
    <w:rsid w:val="000A0B37"/>
    <w:rsid w:val="000A4322"/>
    <w:rsid w:val="000A6CF3"/>
    <w:rsid w:val="000B112A"/>
    <w:rsid w:val="000B1609"/>
    <w:rsid w:val="000B3F9E"/>
    <w:rsid w:val="000C7BCE"/>
    <w:rsid w:val="000D13AE"/>
    <w:rsid w:val="000E5E45"/>
    <w:rsid w:val="000F1030"/>
    <w:rsid w:val="001224D6"/>
    <w:rsid w:val="00136D65"/>
    <w:rsid w:val="0014431B"/>
    <w:rsid w:val="00144D63"/>
    <w:rsid w:val="00150D5A"/>
    <w:rsid w:val="001518D5"/>
    <w:rsid w:val="001566E8"/>
    <w:rsid w:val="00157DF2"/>
    <w:rsid w:val="00166742"/>
    <w:rsid w:val="00166D3C"/>
    <w:rsid w:val="001711B1"/>
    <w:rsid w:val="00175B29"/>
    <w:rsid w:val="00176006"/>
    <w:rsid w:val="00182D6F"/>
    <w:rsid w:val="00183456"/>
    <w:rsid w:val="00190968"/>
    <w:rsid w:val="0019610A"/>
    <w:rsid w:val="001A2D4D"/>
    <w:rsid w:val="001A3C36"/>
    <w:rsid w:val="001B5E1D"/>
    <w:rsid w:val="001C51BC"/>
    <w:rsid w:val="001C7518"/>
    <w:rsid w:val="001D49F2"/>
    <w:rsid w:val="001E2EFC"/>
    <w:rsid w:val="001F76ED"/>
    <w:rsid w:val="00216206"/>
    <w:rsid w:val="00225238"/>
    <w:rsid w:val="00227171"/>
    <w:rsid w:val="002304FE"/>
    <w:rsid w:val="00233AFF"/>
    <w:rsid w:val="00241B73"/>
    <w:rsid w:val="0025304C"/>
    <w:rsid w:val="00254B91"/>
    <w:rsid w:val="002735FA"/>
    <w:rsid w:val="00291A4C"/>
    <w:rsid w:val="002A0E40"/>
    <w:rsid w:val="002A1C9E"/>
    <w:rsid w:val="002C402F"/>
    <w:rsid w:val="002D18BD"/>
    <w:rsid w:val="002D4F75"/>
    <w:rsid w:val="002E6B01"/>
    <w:rsid w:val="002E7783"/>
    <w:rsid w:val="003010DE"/>
    <w:rsid w:val="003037BB"/>
    <w:rsid w:val="00337263"/>
    <w:rsid w:val="003413BC"/>
    <w:rsid w:val="003428C9"/>
    <w:rsid w:val="003573D3"/>
    <w:rsid w:val="0036346A"/>
    <w:rsid w:val="00381B09"/>
    <w:rsid w:val="003A05C4"/>
    <w:rsid w:val="003B4EEF"/>
    <w:rsid w:val="003C6DBA"/>
    <w:rsid w:val="003D4741"/>
    <w:rsid w:val="003E251F"/>
    <w:rsid w:val="003E48AE"/>
    <w:rsid w:val="003F60E5"/>
    <w:rsid w:val="00405FE6"/>
    <w:rsid w:val="004150A1"/>
    <w:rsid w:val="004178C8"/>
    <w:rsid w:val="004219FF"/>
    <w:rsid w:val="00424FCF"/>
    <w:rsid w:val="0044253D"/>
    <w:rsid w:val="00446E9B"/>
    <w:rsid w:val="00452114"/>
    <w:rsid w:val="004761AB"/>
    <w:rsid w:val="00482D61"/>
    <w:rsid w:val="00487969"/>
    <w:rsid w:val="00487BBD"/>
    <w:rsid w:val="00491193"/>
    <w:rsid w:val="00492077"/>
    <w:rsid w:val="00496F5F"/>
    <w:rsid w:val="004A4310"/>
    <w:rsid w:val="004B0209"/>
    <w:rsid w:val="004B302F"/>
    <w:rsid w:val="004B6F6D"/>
    <w:rsid w:val="004C16B9"/>
    <w:rsid w:val="004D2C3C"/>
    <w:rsid w:val="004D36AF"/>
    <w:rsid w:val="004E3C88"/>
    <w:rsid w:val="004E6A55"/>
    <w:rsid w:val="004F316B"/>
    <w:rsid w:val="004F3494"/>
    <w:rsid w:val="004F7C64"/>
    <w:rsid w:val="005127E8"/>
    <w:rsid w:val="00517C1B"/>
    <w:rsid w:val="00530F46"/>
    <w:rsid w:val="005325F4"/>
    <w:rsid w:val="005348D5"/>
    <w:rsid w:val="0053727B"/>
    <w:rsid w:val="00550C1A"/>
    <w:rsid w:val="005557B7"/>
    <w:rsid w:val="0056161B"/>
    <w:rsid w:val="00567B22"/>
    <w:rsid w:val="005832BF"/>
    <w:rsid w:val="005866B9"/>
    <w:rsid w:val="00587024"/>
    <w:rsid w:val="00592957"/>
    <w:rsid w:val="005A22C6"/>
    <w:rsid w:val="005A4F33"/>
    <w:rsid w:val="005A78DE"/>
    <w:rsid w:val="005B7FB2"/>
    <w:rsid w:val="005D17D1"/>
    <w:rsid w:val="005F653D"/>
    <w:rsid w:val="006009C8"/>
    <w:rsid w:val="006038BE"/>
    <w:rsid w:val="00624AE7"/>
    <w:rsid w:val="00633BA0"/>
    <w:rsid w:val="00643403"/>
    <w:rsid w:val="0064451D"/>
    <w:rsid w:val="00676D02"/>
    <w:rsid w:val="00680BAC"/>
    <w:rsid w:val="006858C4"/>
    <w:rsid w:val="00686205"/>
    <w:rsid w:val="006B2B5F"/>
    <w:rsid w:val="006D37A7"/>
    <w:rsid w:val="006D634F"/>
    <w:rsid w:val="006F4A4F"/>
    <w:rsid w:val="00700A24"/>
    <w:rsid w:val="00711338"/>
    <w:rsid w:val="0071301C"/>
    <w:rsid w:val="00722492"/>
    <w:rsid w:val="007270D5"/>
    <w:rsid w:val="00732E54"/>
    <w:rsid w:val="00735D2B"/>
    <w:rsid w:val="00746A3C"/>
    <w:rsid w:val="00761DF8"/>
    <w:rsid w:val="00766916"/>
    <w:rsid w:val="0077147B"/>
    <w:rsid w:val="00795485"/>
    <w:rsid w:val="0079764E"/>
    <w:rsid w:val="007977C6"/>
    <w:rsid w:val="007B0A5A"/>
    <w:rsid w:val="007B3886"/>
    <w:rsid w:val="007B7ED1"/>
    <w:rsid w:val="007D0215"/>
    <w:rsid w:val="007F1F5F"/>
    <w:rsid w:val="008027E6"/>
    <w:rsid w:val="008035C6"/>
    <w:rsid w:val="00833861"/>
    <w:rsid w:val="008472AD"/>
    <w:rsid w:val="008648C5"/>
    <w:rsid w:val="0087482C"/>
    <w:rsid w:val="00876FFD"/>
    <w:rsid w:val="00880E7F"/>
    <w:rsid w:val="00882CF8"/>
    <w:rsid w:val="00893D49"/>
    <w:rsid w:val="008954EB"/>
    <w:rsid w:val="008A1692"/>
    <w:rsid w:val="008A40BC"/>
    <w:rsid w:val="008A5EA5"/>
    <w:rsid w:val="008B2A77"/>
    <w:rsid w:val="008C1F69"/>
    <w:rsid w:val="008C24EE"/>
    <w:rsid w:val="008D1188"/>
    <w:rsid w:val="008D5F1D"/>
    <w:rsid w:val="008F451B"/>
    <w:rsid w:val="008F5F3B"/>
    <w:rsid w:val="00912F2B"/>
    <w:rsid w:val="0091512D"/>
    <w:rsid w:val="00915962"/>
    <w:rsid w:val="00926BB9"/>
    <w:rsid w:val="0093221F"/>
    <w:rsid w:val="00941F7B"/>
    <w:rsid w:val="00953DA7"/>
    <w:rsid w:val="00954F74"/>
    <w:rsid w:val="00970B6D"/>
    <w:rsid w:val="0097261A"/>
    <w:rsid w:val="00974116"/>
    <w:rsid w:val="00975169"/>
    <w:rsid w:val="00980223"/>
    <w:rsid w:val="00983908"/>
    <w:rsid w:val="009921C9"/>
    <w:rsid w:val="00992DE5"/>
    <w:rsid w:val="009A45FC"/>
    <w:rsid w:val="009B07A2"/>
    <w:rsid w:val="009B089E"/>
    <w:rsid w:val="009B52C1"/>
    <w:rsid w:val="009B7FE5"/>
    <w:rsid w:val="009C197F"/>
    <w:rsid w:val="009E209B"/>
    <w:rsid w:val="009E697F"/>
    <w:rsid w:val="009F2D5E"/>
    <w:rsid w:val="009F5B31"/>
    <w:rsid w:val="00A11AFA"/>
    <w:rsid w:val="00A23B84"/>
    <w:rsid w:val="00A346CE"/>
    <w:rsid w:val="00A44B23"/>
    <w:rsid w:val="00A506D0"/>
    <w:rsid w:val="00A65BFE"/>
    <w:rsid w:val="00A675F5"/>
    <w:rsid w:val="00A70839"/>
    <w:rsid w:val="00A8490A"/>
    <w:rsid w:val="00A84F32"/>
    <w:rsid w:val="00A938BD"/>
    <w:rsid w:val="00AA34CD"/>
    <w:rsid w:val="00AA4527"/>
    <w:rsid w:val="00AA7A4E"/>
    <w:rsid w:val="00AC3188"/>
    <w:rsid w:val="00AC5782"/>
    <w:rsid w:val="00AD1861"/>
    <w:rsid w:val="00AD3099"/>
    <w:rsid w:val="00AD3F85"/>
    <w:rsid w:val="00AD7694"/>
    <w:rsid w:val="00AD7DEC"/>
    <w:rsid w:val="00AE0848"/>
    <w:rsid w:val="00AE1022"/>
    <w:rsid w:val="00AE1D3A"/>
    <w:rsid w:val="00AE2850"/>
    <w:rsid w:val="00AF15B1"/>
    <w:rsid w:val="00B01C2F"/>
    <w:rsid w:val="00B409DB"/>
    <w:rsid w:val="00B45B54"/>
    <w:rsid w:val="00B631BB"/>
    <w:rsid w:val="00B8381A"/>
    <w:rsid w:val="00B83879"/>
    <w:rsid w:val="00B85666"/>
    <w:rsid w:val="00B91FD3"/>
    <w:rsid w:val="00BB1D8A"/>
    <w:rsid w:val="00BC334B"/>
    <w:rsid w:val="00BC460E"/>
    <w:rsid w:val="00BC6ECD"/>
    <w:rsid w:val="00BC7664"/>
    <w:rsid w:val="00BE0D06"/>
    <w:rsid w:val="00BE66A8"/>
    <w:rsid w:val="00BF26AA"/>
    <w:rsid w:val="00C02D60"/>
    <w:rsid w:val="00C03454"/>
    <w:rsid w:val="00C4277A"/>
    <w:rsid w:val="00C452A9"/>
    <w:rsid w:val="00C53117"/>
    <w:rsid w:val="00C56027"/>
    <w:rsid w:val="00C57427"/>
    <w:rsid w:val="00C6110D"/>
    <w:rsid w:val="00C61F3F"/>
    <w:rsid w:val="00C65192"/>
    <w:rsid w:val="00C86759"/>
    <w:rsid w:val="00C87D0D"/>
    <w:rsid w:val="00C91161"/>
    <w:rsid w:val="00C94028"/>
    <w:rsid w:val="00CA39C4"/>
    <w:rsid w:val="00CA618A"/>
    <w:rsid w:val="00CC156A"/>
    <w:rsid w:val="00CD152A"/>
    <w:rsid w:val="00CD7F01"/>
    <w:rsid w:val="00CE5C65"/>
    <w:rsid w:val="00CE7192"/>
    <w:rsid w:val="00CF1C3E"/>
    <w:rsid w:val="00CF7E70"/>
    <w:rsid w:val="00D03621"/>
    <w:rsid w:val="00D0647C"/>
    <w:rsid w:val="00D110A4"/>
    <w:rsid w:val="00D12767"/>
    <w:rsid w:val="00D268C5"/>
    <w:rsid w:val="00D43E83"/>
    <w:rsid w:val="00D679BF"/>
    <w:rsid w:val="00D708F9"/>
    <w:rsid w:val="00D916A7"/>
    <w:rsid w:val="00DB0AC6"/>
    <w:rsid w:val="00DB1163"/>
    <w:rsid w:val="00DB42AA"/>
    <w:rsid w:val="00DC26AC"/>
    <w:rsid w:val="00DC7843"/>
    <w:rsid w:val="00DD11DC"/>
    <w:rsid w:val="00DE4FC1"/>
    <w:rsid w:val="00DF3E48"/>
    <w:rsid w:val="00DF553D"/>
    <w:rsid w:val="00E16B87"/>
    <w:rsid w:val="00E23BB8"/>
    <w:rsid w:val="00E477AD"/>
    <w:rsid w:val="00E51176"/>
    <w:rsid w:val="00E53485"/>
    <w:rsid w:val="00E70FE5"/>
    <w:rsid w:val="00E72BBB"/>
    <w:rsid w:val="00E82B90"/>
    <w:rsid w:val="00E9308C"/>
    <w:rsid w:val="00EA5DF8"/>
    <w:rsid w:val="00EA68F7"/>
    <w:rsid w:val="00EC50AD"/>
    <w:rsid w:val="00ED30E1"/>
    <w:rsid w:val="00ED4A27"/>
    <w:rsid w:val="00EE3DE7"/>
    <w:rsid w:val="00EE4AB4"/>
    <w:rsid w:val="00EE6F47"/>
    <w:rsid w:val="00EF5CF8"/>
    <w:rsid w:val="00F11086"/>
    <w:rsid w:val="00F152DE"/>
    <w:rsid w:val="00F300FD"/>
    <w:rsid w:val="00F43707"/>
    <w:rsid w:val="00F56969"/>
    <w:rsid w:val="00F81D74"/>
    <w:rsid w:val="00F9372B"/>
    <w:rsid w:val="00FB012C"/>
    <w:rsid w:val="00FB222F"/>
    <w:rsid w:val="00FC0B18"/>
    <w:rsid w:val="00FC442C"/>
    <w:rsid w:val="00FD04C9"/>
    <w:rsid w:val="00FD4E15"/>
    <w:rsid w:val="00FE1C70"/>
    <w:rsid w:val="00FE7005"/>
    <w:rsid w:val="00FF0827"/>
    <w:rsid w:val="00FF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2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A0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E4F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72BBB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E72BBB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character" w:styleId="Odkaznakoment">
    <w:name w:val="annotation reference"/>
    <w:semiHidden/>
    <w:rsid w:val="0018345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834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8345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18345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8345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83456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34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3456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4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45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18345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34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2m">
    <w:name w:val="_zákl.2m"/>
    <w:basedOn w:val="Normln"/>
    <w:rsid w:val="00183456"/>
    <w:pPr>
      <w:tabs>
        <w:tab w:val="left" w:pos="567"/>
      </w:tabs>
      <w:spacing w:before="240" w:after="60"/>
      <w:ind w:firstLine="567"/>
      <w:jc w:val="both"/>
    </w:pPr>
    <w:rPr>
      <w:rFonts w:ascii="Calibri" w:hAnsi="Calibri"/>
      <w:szCs w:val="20"/>
    </w:rPr>
  </w:style>
  <w:style w:type="character" w:styleId="Zdraznnjemn">
    <w:name w:val="Subtle Emphasis"/>
    <w:basedOn w:val="Standardnpsmoodstavce"/>
    <w:uiPriority w:val="19"/>
    <w:qFormat/>
    <w:rsid w:val="00CE5C65"/>
    <w:rPr>
      <w:i/>
      <w:iCs/>
      <w:color w:val="808080" w:themeColor="text1" w:themeTint="7F"/>
    </w:rPr>
  </w:style>
  <w:style w:type="paragraph" w:styleId="Odstavecseseznamem">
    <w:name w:val="List Paragraph"/>
    <w:basedOn w:val="Normln"/>
    <w:link w:val="OdstavecseseznamemChar"/>
    <w:uiPriority w:val="34"/>
    <w:qFormat/>
    <w:rsid w:val="005325F4"/>
    <w:pPr>
      <w:ind w:left="720"/>
      <w:contextualSpacing/>
    </w:pPr>
  </w:style>
  <w:style w:type="paragraph" w:styleId="Bezmezer">
    <w:name w:val="No Spacing"/>
    <w:uiPriority w:val="1"/>
    <w:qFormat/>
    <w:rsid w:val="00592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F55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553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55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553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3A05C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A05C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character" w:styleId="Zvraznn">
    <w:name w:val="Emphasis"/>
    <w:basedOn w:val="Standardnpsmoodstavce"/>
    <w:uiPriority w:val="20"/>
    <w:qFormat/>
    <w:rsid w:val="003A05C4"/>
    <w:rPr>
      <w:i/>
      <w:iCs/>
    </w:rPr>
  </w:style>
  <w:style w:type="character" w:customStyle="1" w:styleId="Nadpis2Char">
    <w:name w:val="Nadpis 2 Char"/>
    <w:basedOn w:val="Standardnpsmoodstavce"/>
    <w:link w:val="Nadpis2"/>
    <w:uiPriority w:val="9"/>
    <w:rsid w:val="00DE4FC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DE4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B0209"/>
    <w:rPr>
      <w:color w:val="0563C1" w:themeColor="hyperlink"/>
      <w:u w:val="single"/>
    </w:rPr>
  </w:style>
  <w:style w:type="paragraph" w:customStyle="1" w:styleId="O29PODPIS">
    <w:name w:val="O29_PODPIS"/>
    <w:basedOn w:val="Normln"/>
    <w:link w:val="O29PODPISChar"/>
    <w:qFormat/>
    <w:rsid w:val="00926BB9"/>
    <w:pPr>
      <w:suppressAutoHyphens/>
      <w:spacing w:line="276" w:lineRule="auto"/>
      <w:jc w:val="center"/>
    </w:pPr>
    <w:rPr>
      <w:rFonts w:eastAsia="Calibri"/>
      <w:sz w:val="18"/>
      <w:szCs w:val="20"/>
    </w:rPr>
  </w:style>
  <w:style w:type="character" w:customStyle="1" w:styleId="O29PODPISChar">
    <w:name w:val="O29_PODPIS Char"/>
    <w:link w:val="O29PODPIS"/>
    <w:rsid w:val="00926BB9"/>
    <w:rPr>
      <w:rFonts w:ascii="Times New Roman" w:eastAsia="Calibri" w:hAnsi="Times New Roman" w:cs="Times New Roman"/>
      <w:sz w:val="18"/>
      <w:szCs w:val="20"/>
      <w:lang w:eastAsia="cs-CZ"/>
    </w:rPr>
  </w:style>
  <w:style w:type="paragraph" w:customStyle="1" w:styleId="O29PODPIS2">
    <w:name w:val="O29_PODPIS2"/>
    <w:basedOn w:val="O29PODPIS"/>
    <w:link w:val="O29PODPIS2Char"/>
    <w:qFormat/>
    <w:rsid w:val="00926BB9"/>
    <w:pPr>
      <w:spacing w:before="240"/>
    </w:pPr>
    <w:rPr>
      <w:b/>
      <w:sz w:val="20"/>
    </w:rPr>
  </w:style>
  <w:style w:type="character" w:customStyle="1" w:styleId="O29PODPIS2Char">
    <w:name w:val="O29_PODPIS2 Char"/>
    <w:link w:val="O29PODPIS2"/>
    <w:rsid w:val="00926BB9"/>
    <w:rPr>
      <w:rFonts w:ascii="Times New Roman" w:eastAsia="Calibri" w:hAnsi="Times New Roman" w:cs="Times New Roman"/>
      <w:b/>
      <w:sz w:val="20"/>
      <w:szCs w:val="20"/>
      <w:lang w:eastAsia="cs-CZ"/>
    </w:rPr>
  </w:style>
  <w:style w:type="paragraph" w:customStyle="1" w:styleId="Nzev2">
    <w:name w:val="Název 2"/>
    <w:basedOn w:val="Normln"/>
    <w:link w:val="Nzev2Char"/>
    <w:qFormat/>
    <w:rsid w:val="00926BB9"/>
    <w:pPr>
      <w:spacing w:line="360" w:lineRule="auto"/>
      <w:jc w:val="center"/>
    </w:pPr>
    <w:rPr>
      <w:b/>
      <w:sz w:val="56"/>
      <w:szCs w:val="56"/>
    </w:rPr>
  </w:style>
  <w:style w:type="paragraph" w:customStyle="1" w:styleId="Nzev3">
    <w:name w:val="Název 3"/>
    <w:basedOn w:val="Normln"/>
    <w:link w:val="Nzev3Char"/>
    <w:qFormat/>
    <w:rsid w:val="00926BB9"/>
    <w:pPr>
      <w:spacing w:line="360" w:lineRule="auto"/>
      <w:jc w:val="center"/>
    </w:pPr>
    <w:rPr>
      <w:b/>
      <w:bCs/>
      <w:sz w:val="40"/>
      <w:szCs w:val="40"/>
    </w:rPr>
  </w:style>
  <w:style w:type="character" w:customStyle="1" w:styleId="Nzev2Char">
    <w:name w:val="Název 2 Char"/>
    <w:basedOn w:val="Standardnpsmoodstavce"/>
    <w:link w:val="Nzev2"/>
    <w:rsid w:val="00926BB9"/>
    <w:rPr>
      <w:rFonts w:ascii="Times New Roman" w:eastAsia="Times New Roman" w:hAnsi="Times New Roman" w:cs="Times New Roman"/>
      <w:b/>
      <w:sz w:val="56"/>
      <w:szCs w:val="56"/>
      <w:lang w:eastAsia="cs-CZ"/>
    </w:rPr>
  </w:style>
  <w:style w:type="character" w:customStyle="1" w:styleId="Nzev3Char">
    <w:name w:val="Název 3 Char"/>
    <w:basedOn w:val="Standardnpsmoodstavce"/>
    <w:link w:val="Nzev3"/>
    <w:rsid w:val="00926BB9"/>
    <w:rPr>
      <w:rFonts w:ascii="Times New Roman" w:eastAsia="Times New Roman" w:hAnsi="Times New Roman" w:cs="Times New Roman"/>
      <w:b/>
      <w:bCs/>
      <w:sz w:val="40"/>
      <w:szCs w:val="4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2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A0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E4F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72BBB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E72BBB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character" w:styleId="Odkaznakoment">
    <w:name w:val="annotation reference"/>
    <w:semiHidden/>
    <w:rsid w:val="0018345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834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8345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18345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8345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83456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34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3456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4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45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18345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34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2m">
    <w:name w:val="_zákl.2m"/>
    <w:basedOn w:val="Normln"/>
    <w:rsid w:val="00183456"/>
    <w:pPr>
      <w:tabs>
        <w:tab w:val="left" w:pos="567"/>
      </w:tabs>
      <w:spacing w:before="240" w:after="60"/>
      <w:ind w:firstLine="567"/>
      <w:jc w:val="both"/>
    </w:pPr>
    <w:rPr>
      <w:rFonts w:ascii="Calibri" w:hAnsi="Calibri"/>
      <w:szCs w:val="20"/>
    </w:rPr>
  </w:style>
  <w:style w:type="character" w:styleId="Zdraznnjemn">
    <w:name w:val="Subtle Emphasis"/>
    <w:basedOn w:val="Standardnpsmoodstavce"/>
    <w:uiPriority w:val="19"/>
    <w:qFormat/>
    <w:rsid w:val="00CE5C65"/>
    <w:rPr>
      <w:i/>
      <w:iCs/>
      <w:color w:val="808080" w:themeColor="text1" w:themeTint="7F"/>
    </w:rPr>
  </w:style>
  <w:style w:type="paragraph" w:styleId="Odstavecseseznamem">
    <w:name w:val="List Paragraph"/>
    <w:basedOn w:val="Normln"/>
    <w:link w:val="OdstavecseseznamemChar"/>
    <w:uiPriority w:val="34"/>
    <w:qFormat/>
    <w:rsid w:val="005325F4"/>
    <w:pPr>
      <w:ind w:left="720"/>
      <w:contextualSpacing/>
    </w:pPr>
  </w:style>
  <w:style w:type="paragraph" w:styleId="Bezmezer">
    <w:name w:val="No Spacing"/>
    <w:uiPriority w:val="1"/>
    <w:qFormat/>
    <w:rsid w:val="00592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F55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553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55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553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3A05C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A05C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character" w:styleId="Zvraznn">
    <w:name w:val="Emphasis"/>
    <w:basedOn w:val="Standardnpsmoodstavce"/>
    <w:uiPriority w:val="20"/>
    <w:qFormat/>
    <w:rsid w:val="003A05C4"/>
    <w:rPr>
      <w:i/>
      <w:iCs/>
    </w:rPr>
  </w:style>
  <w:style w:type="character" w:customStyle="1" w:styleId="Nadpis2Char">
    <w:name w:val="Nadpis 2 Char"/>
    <w:basedOn w:val="Standardnpsmoodstavce"/>
    <w:link w:val="Nadpis2"/>
    <w:uiPriority w:val="9"/>
    <w:rsid w:val="00DE4FC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DE4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B0209"/>
    <w:rPr>
      <w:color w:val="0563C1" w:themeColor="hyperlink"/>
      <w:u w:val="single"/>
    </w:rPr>
  </w:style>
  <w:style w:type="paragraph" w:customStyle="1" w:styleId="O29PODPIS">
    <w:name w:val="O29_PODPIS"/>
    <w:basedOn w:val="Normln"/>
    <w:link w:val="O29PODPISChar"/>
    <w:qFormat/>
    <w:rsid w:val="00926BB9"/>
    <w:pPr>
      <w:suppressAutoHyphens/>
      <w:spacing w:line="276" w:lineRule="auto"/>
      <w:jc w:val="center"/>
    </w:pPr>
    <w:rPr>
      <w:rFonts w:eastAsia="Calibri"/>
      <w:sz w:val="18"/>
      <w:szCs w:val="20"/>
    </w:rPr>
  </w:style>
  <w:style w:type="character" w:customStyle="1" w:styleId="O29PODPISChar">
    <w:name w:val="O29_PODPIS Char"/>
    <w:link w:val="O29PODPIS"/>
    <w:rsid w:val="00926BB9"/>
    <w:rPr>
      <w:rFonts w:ascii="Times New Roman" w:eastAsia="Calibri" w:hAnsi="Times New Roman" w:cs="Times New Roman"/>
      <w:sz w:val="18"/>
      <w:szCs w:val="20"/>
      <w:lang w:eastAsia="cs-CZ"/>
    </w:rPr>
  </w:style>
  <w:style w:type="paragraph" w:customStyle="1" w:styleId="O29PODPIS2">
    <w:name w:val="O29_PODPIS2"/>
    <w:basedOn w:val="O29PODPIS"/>
    <w:link w:val="O29PODPIS2Char"/>
    <w:qFormat/>
    <w:rsid w:val="00926BB9"/>
    <w:pPr>
      <w:spacing w:before="240"/>
    </w:pPr>
    <w:rPr>
      <w:b/>
      <w:sz w:val="20"/>
    </w:rPr>
  </w:style>
  <w:style w:type="character" w:customStyle="1" w:styleId="O29PODPIS2Char">
    <w:name w:val="O29_PODPIS2 Char"/>
    <w:link w:val="O29PODPIS2"/>
    <w:rsid w:val="00926BB9"/>
    <w:rPr>
      <w:rFonts w:ascii="Times New Roman" w:eastAsia="Calibri" w:hAnsi="Times New Roman" w:cs="Times New Roman"/>
      <w:b/>
      <w:sz w:val="20"/>
      <w:szCs w:val="20"/>
      <w:lang w:eastAsia="cs-CZ"/>
    </w:rPr>
  </w:style>
  <w:style w:type="paragraph" w:customStyle="1" w:styleId="Nzev2">
    <w:name w:val="Název 2"/>
    <w:basedOn w:val="Normln"/>
    <w:link w:val="Nzev2Char"/>
    <w:qFormat/>
    <w:rsid w:val="00926BB9"/>
    <w:pPr>
      <w:spacing w:line="360" w:lineRule="auto"/>
      <w:jc w:val="center"/>
    </w:pPr>
    <w:rPr>
      <w:b/>
      <w:sz w:val="56"/>
      <w:szCs w:val="56"/>
    </w:rPr>
  </w:style>
  <w:style w:type="paragraph" w:customStyle="1" w:styleId="Nzev3">
    <w:name w:val="Název 3"/>
    <w:basedOn w:val="Normln"/>
    <w:link w:val="Nzev3Char"/>
    <w:qFormat/>
    <w:rsid w:val="00926BB9"/>
    <w:pPr>
      <w:spacing w:line="360" w:lineRule="auto"/>
      <w:jc w:val="center"/>
    </w:pPr>
    <w:rPr>
      <w:b/>
      <w:bCs/>
      <w:sz w:val="40"/>
      <w:szCs w:val="40"/>
    </w:rPr>
  </w:style>
  <w:style w:type="character" w:customStyle="1" w:styleId="Nzev2Char">
    <w:name w:val="Název 2 Char"/>
    <w:basedOn w:val="Standardnpsmoodstavce"/>
    <w:link w:val="Nzev2"/>
    <w:rsid w:val="00926BB9"/>
    <w:rPr>
      <w:rFonts w:ascii="Times New Roman" w:eastAsia="Times New Roman" w:hAnsi="Times New Roman" w:cs="Times New Roman"/>
      <w:b/>
      <w:sz w:val="56"/>
      <w:szCs w:val="56"/>
      <w:lang w:eastAsia="cs-CZ"/>
    </w:rPr>
  </w:style>
  <w:style w:type="character" w:customStyle="1" w:styleId="Nzev3Char">
    <w:name w:val="Název 3 Char"/>
    <w:basedOn w:val="Standardnpsmoodstavce"/>
    <w:link w:val="Nzev3"/>
    <w:rsid w:val="00926BB9"/>
    <w:rPr>
      <w:rFonts w:ascii="Times New Roman" w:eastAsia="Times New Roman" w:hAnsi="Times New Roman" w:cs="Times New Roman"/>
      <w:b/>
      <w:bCs/>
      <w:sz w:val="40"/>
      <w:szCs w:val="4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BE519-0BF0-49B5-8F54-9C2FE174B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3186</Words>
  <Characters>18798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Pešková Kateřina, Ing. arch.</dc:creator>
  <cp:lastModifiedBy>Hanáková Ilona, Ing.</cp:lastModifiedBy>
  <cp:revision>2</cp:revision>
  <cp:lastPrinted>2019-02-25T08:46:00Z</cp:lastPrinted>
  <dcterms:created xsi:type="dcterms:W3CDTF">2019-08-16T08:32:00Z</dcterms:created>
  <dcterms:modified xsi:type="dcterms:W3CDTF">2019-08-16T08:32:00Z</dcterms:modified>
</cp:coreProperties>
</file>