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391D2B" w:rsidP="0054209E">
      <w:pPr>
        <w:pStyle w:val="Titul2"/>
      </w:pPr>
      <w:r w:rsidRPr="00391D2B">
        <w:t>„</w:t>
      </w:r>
      <w:r w:rsidRPr="00391D2B">
        <w:rPr>
          <w:bCs/>
        </w:rPr>
        <w:t>Dodávka turniketů veřejných WC žst. Praha Holešovice, Praha Smíchov, Praha Libeň a Kralupy nad Vltavou</w:t>
      </w:r>
      <w:r w:rsidR="0054209E" w:rsidRPr="00391D2B">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54209E" w:rsidRDefault="00391D2B" w:rsidP="0054209E">
      <w:pPr>
        <w:pStyle w:val="Odstavecseseznamem"/>
        <w:numPr>
          <w:ilvl w:val="2"/>
          <w:numId w:val="35"/>
        </w:numPr>
        <w:rPr>
          <w:noProof/>
        </w:rPr>
      </w:pPr>
      <w:bookmarkStart w:id="0" w:name="_Ref171554"/>
      <w:r w:rsidRPr="00391D2B">
        <w:rPr>
          <w:noProof/>
        </w:rPr>
        <w:t>ve věcech technických: Ladislav Ulrich, DiS.</w:t>
      </w:r>
      <w:r w:rsidR="0054209E" w:rsidRPr="00391D2B">
        <w:rPr>
          <w:noProof/>
        </w:rPr>
        <w:t xml:space="preserve">, tel.: </w:t>
      </w:r>
      <w:bookmarkEnd w:id="0"/>
      <w:r w:rsidRPr="00391D2B">
        <w:rPr>
          <w:noProof/>
        </w:rPr>
        <w:t>602 186</w:t>
      </w:r>
      <w:r w:rsidR="00CE23B7">
        <w:rPr>
          <w:noProof/>
        </w:rPr>
        <w:t> </w:t>
      </w:r>
      <w:r w:rsidRPr="00391D2B">
        <w:rPr>
          <w:noProof/>
        </w:rPr>
        <w:t>191</w:t>
      </w:r>
    </w:p>
    <w:p w:rsidR="00CE23B7" w:rsidRPr="00391D2B" w:rsidRDefault="00CE23B7" w:rsidP="00CE23B7">
      <w:pPr>
        <w:pStyle w:val="Odstavecseseznamem"/>
        <w:tabs>
          <w:tab w:val="left" w:pos="3967"/>
        </w:tabs>
        <w:ind w:left="1729"/>
        <w:rPr>
          <w:noProof/>
        </w:rPr>
      </w:pPr>
      <w:r>
        <w:rPr>
          <w:noProof/>
        </w:rPr>
        <w:t xml:space="preserve">                                   Ing. Lukáš Klauz, tel.: 725 805 788</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Pr="00286820" w:rsidRDefault="0054209E" w:rsidP="0054209E">
      <w:pPr>
        <w:pStyle w:val="Odstavecseseznamem"/>
        <w:ind w:left="1077"/>
        <w:contextualSpacing w:val="0"/>
        <w:rPr>
          <w:noProof/>
        </w:rPr>
      </w:pPr>
      <w:r w:rsidRPr="00286820">
        <w:rPr>
          <w:noProof/>
        </w:rPr>
        <w:t>Partyzánská 24, 170 00 Praha 7</w:t>
      </w:r>
    </w:p>
    <w:p w:rsidR="0054209E" w:rsidRPr="009F48B1" w:rsidRDefault="0054209E" w:rsidP="0054209E">
      <w:pPr>
        <w:pStyle w:val="Odstavecseseznamem"/>
        <w:spacing w:before="240"/>
        <w:ind w:left="1077"/>
        <w:contextualSpacing w:val="0"/>
        <w:rPr>
          <w:b/>
          <w:noProof/>
        </w:rPr>
      </w:pPr>
      <w:r w:rsidRPr="009F48B1">
        <w:rPr>
          <w:b/>
          <w:noProof/>
        </w:rPr>
        <w:t xml:space="preserve">č. smlouvy kupujícího: </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lastRenderedPageBreak/>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9F48B1" w:rsidRDefault="0054209E" w:rsidP="0054209E">
      <w:pPr>
        <w:pStyle w:val="Odstavecseseznamem"/>
        <w:spacing w:before="240"/>
        <w:ind w:left="1077"/>
        <w:contextualSpacing w:val="0"/>
        <w:rPr>
          <w:b/>
          <w:noProof/>
        </w:rPr>
      </w:pPr>
      <w:r w:rsidRPr="009B1636">
        <w:rPr>
          <w:b/>
          <w:noProof/>
          <w:highlight w:val="yellow"/>
        </w:rPr>
        <w:t>č. smlouvy prodávajícího: "[VLOŽÍ PRODÁVAJÍCÍ]"</w:t>
      </w:r>
    </w:p>
    <w:p w:rsidR="0054209E" w:rsidRPr="0019340A" w:rsidRDefault="0054209E" w:rsidP="0054209E">
      <w:pPr>
        <w:spacing w:after="0"/>
        <w:ind w:firstLine="708"/>
        <w:rPr>
          <w:rFonts w:eastAsia="Verdana" w:cs="Times New Roman"/>
          <w:noProof/>
          <w:highlight w:val="yellow"/>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54209E">
      <w:pPr>
        <w:pStyle w:val="Odstavecseseznamem"/>
        <w:numPr>
          <w:ilvl w:val="2"/>
          <w:numId w:val="35"/>
        </w:numPr>
        <w:rPr>
          <w:noProof/>
        </w:rPr>
      </w:pPr>
      <w:r w:rsidRPr="00E51BB6">
        <w:rPr>
          <w:noProof/>
        </w:rPr>
        <w:t>Výzva kupujícího k podání nabídky pod. č</w:t>
      </w:r>
      <w:r w:rsidRPr="00B61198">
        <w:rPr>
          <w:noProof/>
          <w:color w:val="000000" w:themeColor="text1"/>
        </w:rPr>
        <w:t xml:space="preserve">.j. </w:t>
      </w:r>
      <w:r w:rsidR="00B61198" w:rsidRPr="00B61198">
        <w:rPr>
          <w:noProof/>
          <w:color w:val="000000" w:themeColor="text1"/>
        </w:rPr>
        <w:t>7038</w:t>
      </w:r>
      <w:r w:rsidRPr="00B61198">
        <w:rPr>
          <w:noProof/>
          <w:color w:val="000000" w:themeColor="text1"/>
        </w:rPr>
        <w:t>/20</w:t>
      </w:r>
      <w:r w:rsidR="004E7C01" w:rsidRPr="00B61198">
        <w:rPr>
          <w:noProof/>
          <w:color w:val="000000" w:themeColor="text1"/>
        </w:rPr>
        <w:t>20</w:t>
      </w:r>
      <w:r w:rsidRPr="00B61198">
        <w:rPr>
          <w:noProof/>
          <w:color w:val="000000" w:themeColor="text1"/>
        </w:rPr>
        <w:t xml:space="preserve">-SŽDC-OŘ PHA-OVZ ze dne </w:t>
      </w:r>
      <w:r w:rsidR="00B61198" w:rsidRPr="00B61198">
        <w:rPr>
          <w:noProof/>
          <w:color w:val="000000" w:themeColor="text1"/>
        </w:rPr>
        <w:t>13. 2. 2020</w:t>
      </w:r>
      <w:r w:rsidRPr="00B61198">
        <w:rPr>
          <w:noProof/>
          <w:color w:val="000000" w:themeColor="text1"/>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Default="0054209E" w:rsidP="0054209E">
      <w:pPr>
        <w:pStyle w:val="Odstavecseseznamem"/>
        <w:numPr>
          <w:ilvl w:val="1"/>
          <w:numId w:val="35"/>
        </w:numPr>
        <w:ind w:left="1078" w:hanging="454"/>
        <w:contextualSpacing w:val="0"/>
        <w:rPr>
          <w:noProof/>
        </w:rPr>
      </w:pPr>
      <w:r w:rsidRPr="00E51BB6">
        <w:rPr>
          <w:noProof/>
        </w:rPr>
        <w:t xml:space="preserve">Předmětem této smlouvy je stanovení režimu dodávky </w:t>
      </w:r>
      <w:r w:rsidR="00391D2B">
        <w:rPr>
          <w:noProof/>
        </w:rPr>
        <w:t xml:space="preserve">a montáže mincovních turniketů pro veřejné </w:t>
      </w:r>
      <w:r w:rsidR="00391D2B" w:rsidRPr="00391D2B">
        <w:rPr>
          <w:noProof/>
        </w:rPr>
        <w:t xml:space="preserve">WC </w:t>
      </w:r>
      <w:r w:rsidRPr="00391D2B">
        <w:rPr>
          <w:noProof/>
        </w:rPr>
        <w:t>(dále též zboží).</w:t>
      </w:r>
      <w:r w:rsidRPr="00E51BB6">
        <w:rPr>
          <w:noProof/>
        </w:rPr>
        <w:t xml:space="preserve"> 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31276A" w:rsidRPr="0031276A" w:rsidRDefault="0031276A" w:rsidP="0031276A">
      <w:pPr>
        <w:pStyle w:val="Odstavecseseznamem"/>
        <w:numPr>
          <w:ilvl w:val="1"/>
          <w:numId w:val="35"/>
        </w:numPr>
        <w:rPr>
          <w:noProof/>
        </w:rPr>
      </w:pPr>
      <w:r w:rsidRPr="0031276A">
        <w:rPr>
          <w:noProof/>
        </w:rPr>
        <w:t xml:space="preserve">Dodavatel není oprávněn pověřit prováděním činnosti dle této smlouvy poddodavatele, kteří nejsou uvedeni v této smlouvě. Měnit poddodavatele lze pouze na základě písemných dodatků k této smlouvě. Dodavatel se zavazuje, že ve smlouvách mezi ním a poddodavateli vždy stanoví stejnou dobu splatnosti faktur vůči svým poddodavatelům, jaká je stanovena v této smlouvě. Na vyžádání objednatele předloží dodavatel smlouvy uzavřené s poddodavateli prokazující tuto skutečnost. </w:t>
      </w:r>
    </w:p>
    <w:p w:rsidR="0031276A" w:rsidRPr="00E51BB6" w:rsidRDefault="0031276A" w:rsidP="0031276A">
      <w:pPr>
        <w:pStyle w:val="Odstavecseseznamem"/>
        <w:ind w:left="1078"/>
        <w:contextualSpacing w:val="0"/>
        <w:rPr>
          <w:noProof/>
        </w:rPr>
      </w:pP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3E4E2C">
      <w:pPr>
        <w:pStyle w:val="Odstavecseseznamem"/>
        <w:numPr>
          <w:ilvl w:val="1"/>
          <w:numId w:val="35"/>
        </w:numPr>
        <w:spacing w:after="120"/>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FE3056" w:rsidP="00CE23B7">
      <w:pPr>
        <w:pStyle w:val="Odstavecseseznamem"/>
        <w:tabs>
          <w:tab w:val="left" w:pos="4678"/>
        </w:tabs>
        <w:spacing w:after="120"/>
        <w:ind w:left="1077"/>
        <w:contextualSpacing w:val="0"/>
        <w:rPr>
          <w:b/>
          <w:noProof/>
          <w:highlight w:val="yellow"/>
        </w:rPr>
      </w:pPr>
      <w:r>
        <w:rPr>
          <w:b/>
          <w:noProof/>
          <w:highlight w:val="yellow"/>
        </w:rPr>
        <w:t>Celková cena bez DPH</w:t>
      </w:r>
      <w:r>
        <w:rPr>
          <w:b/>
          <w:noProof/>
          <w:highlight w:val="yellow"/>
        </w:rPr>
        <w:tab/>
        <w:t xml:space="preserve">Kč </w:t>
      </w:r>
    </w:p>
    <w:p w:rsidR="0054209E" w:rsidRPr="00E51BB6" w:rsidRDefault="00FE3056" w:rsidP="00CE23B7">
      <w:pPr>
        <w:pStyle w:val="Odstavecseseznamem"/>
        <w:tabs>
          <w:tab w:val="left" w:pos="4678"/>
        </w:tabs>
        <w:spacing w:after="120"/>
        <w:ind w:left="1077"/>
        <w:contextualSpacing w:val="0"/>
        <w:rPr>
          <w:b/>
          <w:noProof/>
          <w:highlight w:val="yellow"/>
        </w:rPr>
      </w:pPr>
      <w:r>
        <w:rPr>
          <w:b/>
          <w:noProof/>
          <w:highlight w:val="yellow"/>
        </w:rPr>
        <w:t>DPH</w:t>
      </w:r>
      <w:r>
        <w:rPr>
          <w:b/>
          <w:noProof/>
          <w:highlight w:val="yellow"/>
        </w:rPr>
        <w:tab/>
        <w:t xml:space="preserve">Kč </w:t>
      </w:r>
    </w:p>
    <w:p w:rsidR="0054209E" w:rsidRPr="00E51BB6" w:rsidRDefault="00FE3056" w:rsidP="00CE23B7">
      <w:pPr>
        <w:pStyle w:val="Odstavecseseznamem"/>
        <w:tabs>
          <w:tab w:val="left" w:pos="4678"/>
        </w:tabs>
        <w:spacing w:after="120"/>
        <w:ind w:left="1077"/>
        <w:contextualSpacing w:val="0"/>
        <w:rPr>
          <w:b/>
          <w:noProof/>
        </w:rPr>
      </w:pPr>
      <w:r>
        <w:rPr>
          <w:b/>
          <w:noProof/>
          <w:highlight w:val="yellow"/>
        </w:rPr>
        <w:t>Celková cena s DPH</w:t>
      </w:r>
      <w:r>
        <w:rPr>
          <w:b/>
          <w:noProof/>
          <w:highlight w:val="yellow"/>
        </w:rPr>
        <w:tab/>
        <w:t xml:space="preserve">Kč </w:t>
      </w:r>
    </w:p>
    <w:p w:rsidR="0054209E" w:rsidRPr="00E51BB6" w:rsidRDefault="0054209E" w:rsidP="003E4E2C">
      <w:pPr>
        <w:pStyle w:val="Odstavecseseznamem"/>
        <w:spacing w:after="120"/>
        <w:ind w:left="1077"/>
        <w:contextualSpacing w:val="0"/>
        <w:rPr>
          <w:noProof/>
        </w:rPr>
      </w:pPr>
      <w:r w:rsidRPr="00E51BB6">
        <w:rPr>
          <w:noProof/>
        </w:rPr>
        <w:t xml:space="preserve">Kupující se zavazuje zaplatit prodávajícímu kupní cenu. </w:t>
      </w:r>
    </w:p>
    <w:p w:rsidR="0054209E" w:rsidRPr="00E51BB6" w:rsidRDefault="0054209E" w:rsidP="00CE23B7">
      <w:pPr>
        <w:pStyle w:val="Odstavecseseznamem"/>
        <w:numPr>
          <w:ilvl w:val="1"/>
          <w:numId w:val="35"/>
        </w:numPr>
        <w:spacing w:after="120"/>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54209E" w:rsidRPr="00CE23B7" w:rsidRDefault="00FE3056" w:rsidP="00CE23B7">
      <w:pPr>
        <w:pStyle w:val="Odstavecseseznamem"/>
        <w:spacing w:after="0"/>
        <w:ind w:left="1077"/>
        <w:contextualSpacing w:val="0"/>
        <w:rPr>
          <w:b/>
          <w:noProof/>
        </w:rPr>
      </w:pPr>
      <w:r w:rsidRPr="00FE3056">
        <w:rPr>
          <w:b/>
          <w:noProof/>
        </w:rPr>
        <w:t>Praha Holeš</w:t>
      </w:r>
      <w:r w:rsidR="00CE23B7">
        <w:rPr>
          <w:b/>
          <w:noProof/>
        </w:rPr>
        <w:t xml:space="preserve">ovice – </w:t>
      </w:r>
      <w:r w:rsidR="00CE23B7" w:rsidRPr="00CE23B7">
        <w:rPr>
          <w:noProof/>
        </w:rPr>
        <w:t xml:space="preserve">kontakt: Tomáš Lebeda, mobil: 607 035 306, </w:t>
      </w:r>
      <w:r w:rsidR="00CE23B7" w:rsidRPr="00CE23B7">
        <w:rPr>
          <w:noProof/>
        </w:rPr>
        <w:br/>
        <w:t>e-mail: LebedaT@szdc.cz</w:t>
      </w:r>
    </w:p>
    <w:p w:rsidR="00FE3056" w:rsidRPr="00CE23B7" w:rsidRDefault="00FE3056" w:rsidP="00CE23B7">
      <w:pPr>
        <w:pStyle w:val="Odstavecseseznamem"/>
        <w:spacing w:after="0"/>
        <w:ind w:left="1077"/>
        <w:contextualSpacing w:val="0"/>
        <w:rPr>
          <w:noProof/>
        </w:rPr>
      </w:pPr>
      <w:r w:rsidRPr="00CE23B7">
        <w:rPr>
          <w:b/>
          <w:noProof/>
        </w:rPr>
        <w:t xml:space="preserve">Praha Smíchov – </w:t>
      </w:r>
      <w:r w:rsidR="00CE23B7" w:rsidRPr="00CE23B7">
        <w:rPr>
          <w:noProof/>
        </w:rPr>
        <w:t>kontakt: Tomáš Lebeda, mobil: 607 035 306</w:t>
      </w:r>
    </w:p>
    <w:p w:rsidR="00CE23B7" w:rsidRPr="00CE23B7" w:rsidRDefault="00CE23B7" w:rsidP="00CE23B7">
      <w:pPr>
        <w:pStyle w:val="Odstavecseseznamem"/>
        <w:spacing w:after="0"/>
        <w:ind w:left="1077"/>
        <w:contextualSpacing w:val="0"/>
        <w:rPr>
          <w:noProof/>
        </w:rPr>
      </w:pPr>
      <w:r w:rsidRPr="00CE23B7">
        <w:rPr>
          <w:noProof/>
        </w:rPr>
        <w:t>e-mail: LebedaT@szdc.cz</w:t>
      </w:r>
    </w:p>
    <w:p w:rsidR="00FE3056" w:rsidRPr="00CE23B7" w:rsidRDefault="00FE3056" w:rsidP="00CE23B7">
      <w:pPr>
        <w:pStyle w:val="Odstavecseseznamem"/>
        <w:spacing w:after="0"/>
        <w:ind w:left="1077"/>
        <w:contextualSpacing w:val="0"/>
        <w:rPr>
          <w:noProof/>
        </w:rPr>
      </w:pPr>
      <w:r w:rsidRPr="00CE23B7">
        <w:rPr>
          <w:b/>
          <w:noProof/>
        </w:rPr>
        <w:t xml:space="preserve">Praha Libeň – </w:t>
      </w:r>
      <w:r w:rsidRPr="00CE23B7">
        <w:rPr>
          <w:noProof/>
        </w:rPr>
        <w:t>kontakt</w:t>
      </w:r>
      <w:r w:rsidR="00CE23B7" w:rsidRPr="00CE23B7">
        <w:rPr>
          <w:noProof/>
        </w:rPr>
        <w:t>:</w:t>
      </w:r>
      <w:r w:rsidRPr="00CE23B7">
        <w:rPr>
          <w:b/>
          <w:noProof/>
        </w:rPr>
        <w:t xml:space="preserve"> </w:t>
      </w:r>
      <w:r w:rsidR="00CE23B7" w:rsidRPr="00CE23B7">
        <w:rPr>
          <w:noProof/>
        </w:rPr>
        <w:t>Tomáš Lebeda, mobil: 607 035 306</w:t>
      </w:r>
    </w:p>
    <w:p w:rsidR="00CE23B7" w:rsidRPr="00CE23B7" w:rsidRDefault="00CE23B7" w:rsidP="00CE23B7">
      <w:pPr>
        <w:pStyle w:val="Odstavecseseznamem"/>
        <w:spacing w:after="0"/>
        <w:ind w:left="1077"/>
        <w:contextualSpacing w:val="0"/>
        <w:rPr>
          <w:noProof/>
        </w:rPr>
      </w:pPr>
      <w:r w:rsidRPr="00CE23B7">
        <w:rPr>
          <w:noProof/>
        </w:rPr>
        <w:t>e-mail: LebedaT@szdc.cz</w:t>
      </w:r>
    </w:p>
    <w:p w:rsidR="00FE3056" w:rsidRPr="00E51BB6" w:rsidRDefault="00FE3056" w:rsidP="003E4E2C">
      <w:pPr>
        <w:pStyle w:val="Odstavecseseznamem"/>
        <w:spacing w:after="120"/>
        <w:ind w:left="1077"/>
        <w:contextualSpacing w:val="0"/>
        <w:rPr>
          <w:b/>
          <w:noProof/>
        </w:rPr>
      </w:pPr>
      <w:r w:rsidRPr="00CE23B7">
        <w:rPr>
          <w:b/>
          <w:noProof/>
        </w:rPr>
        <w:t>Kralupy nad Vltavou</w:t>
      </w:r>
      <w:r w:rsidR="00CE23B7" w:rsidRPr="00CE23B7">
        <w:rPr>
          <w:b/>
          <w:noProof/>
        </w:rPr>
        <w:t xml:space="preserve"> –</w:t>
      </w:r>
      <w:r w:rsidR="00CE23B7" w:rsidRPr="00CE23B7">
        <w:rPr>
          <w:noProof/>
        </w:rPr>
        <w:t xml:space="preserve"> kontakt: Václav Forst, mobil: 724 754 012, </w:t>
      </w:r>
      <w:r w:rsidR="00CE23B7">
        <w:rPr>
          <w:noProof/>
        </w:rPr>
        <w:br/>
      </w:r>
      <w:r w:rsidR="00CE23B7" w:rsidRPr="00CE23B7">
        <w:rPr>
          <w:noProof/>
        </w:rPr>
        <w:t>e-mail: Forst@szdc.cz</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Splatnost faktury je 30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54209E" w:rsidRPr="00E51BB6" w:rsidRDefault="0054209E" w:rsidP="0054209E">
      <w:pPr>
        <w:pStyle w:val="Odstavecseseznamem"/>
        <w:ind w:left="1078"/>
        <w:contextualSpacing w:val="0"/>
        <w:rPr>
          <w:noProof/>
        </w:rPr>
      </w:pPr>
      <w:r w:rsidRPr="00E51BB6">
        <w:rPr>
          <w:noProof/>
        </w:rPr>
        <w:t>Prodávající se zavazuje doručovat faktury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lastRenderedPageBreak/>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Zboží bud</w:t>
      </w:r>
      <w:r w:rsidR="005C6C88">
        <w:rPr>
          <w:noProof/>
        </w:rPr>
        <w:t>e kupujícímu dodáno v</w:t>
      </w:r>
      <w:r w:rsidRPr="007B581F">
        <w:rPr>
          <w:noProof/>
        </w:rPr>
        <w:t xml:space="preserve">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se zavazuje d</w:t>
      </w:r>
      <w:r w:rsidR="0031276A">
        <w:rPr>
          <w:noProof/>
        </w:rPr>
        <w:t xml:space="preserve">odat zboží </w:t>
      </w:r>
      <w:r w:rsidR="003D5088">
        <w:rPr>
          <w:noProof/>
        </w:rPr>
        <w:t xml:space="preserve">v období od účinnosti smlouvy do 30. 11. 2020, a to vždy </w:t>
      </w:r>
      <w:bookmarkStart w:id="1" w:name="_GoBack"/>
      <w:bookmarkEnd w:id="1"/>
      <w:r w:rsidR="0031276A">
        <w:rPr>
          <w:noProof/>
        </w:rPr>
        <w:t xml:space="preserve">na výzvu kupujícího </w:t>
      </w:r>
      <w:r w:rsidRPr="007B581F">
        <w:rPr>
          <w:noProof/>
        </w:rPr>
        <w:t xml:space="preserve">v termínu nejpozději </w:t>
      </w:r>
      <w:r w:rsidR="0031276A">
        <w:rPr>
          <w:noProof/>
        </w:rPr>
        <w:t>do 30ti kalendářních dnů.</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Dodávka se uskuteční </w:t>
      </w:r>
      <w:r w:rsidRPr="0031276A">
        <w:rPr>
          <w:b/>
          <w:noProof/>
        </w:rPr>
        <w:t>v pra</w:t>
      </w:r>
      <w:r w:rsidR="0031276A" w:rsidRPr="0031276A">
        <w:rPr>
          <w:b/>
          <w:noProof/>
        </w:rPr>
        <w:t>covní dny (pondělí – pátek) od 7:00 do 14</w:t>
      </w:r>
      <w:r w:rsidRPr="0031276A">
        <w:rPr>
          <w:b/>
          <w:noProof/>
        </w:rPr>
        <w:t>:00 hod</w:t>
      </w:r>
      <w:r w:rsidRPr="0031276A">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lastRenderedPageBreak/>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31276A" w:rsidRPr="0031276A" w:rsidRDefault="0031276A" w:rsidP="0031276A">
      <w:pPr>
        <w:pStyle w:val="Odstavecseseznamem"/>
        <w:numPr>
          <w:ilvl w:val="1"/>
          <w:numId w:val="35"/>
        </w:numPr>
        <w:rPr>
          <w:noProof/>
        </w:rPr>
      </w:pPr>
      <w:r w:rsidRPr="0031276A">
        <w:rPr>
          <w:noProof/>
        </w:rPr>
        <w:t>V případě, že dodavatel použije při plnění předmětu této smlouvy poddodavatele a poruš</w:t>
      </w:r>
      <w:r>
        <w:rPr>
          <w:noProof/>
        </w:rPr>
        <w:t>í povinnost stanovenou v odst. 2.3</w:t>
      </w:r>
      <w:r w:rsidRPr="0031276A">
        <w:rPr>
          <w:noProof/>
        </w:rPr>
        <w:t xml:space="preserve"> této smlouvy nebo na vyžádání objednatele nepředloží smlouvy s poddodavateli prokazující splnění dané povinnosti, je objednatel oprávněn požadovat po dodavateli smluvní pokutu ve výši 10.000,- Kč za každý zjištěný případ takového porušení.</w:t>
      </w:r>
    </w:p>
    <w:p w:rsidR="0031276A" w:rsidRPr="007B581F" w:rsidRDefault="0031276A" w:rsidP="0031276A">
      <w:pPr>
        <w:pStyle w:val="Odstavecseseznamem"/>
        <w:ind w:left="1078"/>
        <w:contextualSpacing w:val="0"/>
        <w:rPr>
          <w:noProof/>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w:t>
      </w:r>
      <w:r w:rsidRPr="0031276A">
        <w:rPr>
          <w:noProof/>
        </w:rPr>
        <w:t xml:space="preserve">dobu </w:t>
      </w:r>
      <w:r w:rsidRPr="0031276A">
        <w:rPr>
          <w:b/>
          <w:noProof/>
        </w:rPr>
        <w:t>24 měsíců.</w:t>
      </w:r>
      <w:r w:rsidRPr="007B581F">
        <w:rPr>
          <w:noProof/>
        </w:rPr>
        <w:t xml:space="preserve"> Záruční doba začíná běžet dnem, předání a převzetí zboží</w:t>
      </w:r>
      <w:r w:rsidR="007925CA">
        <w:rPr>
          <w:noProof/>
        </w:rPr>
        <w:t xml:space="preserve"> (tato doba běží pro každé zařízení zvlášť)</w:t>
      </w:r>
      <w:r w:rsidRPr="007B581F">
        <w:rPr>
          <w:noProof/>
        </w:rPr>
        <w:t xml:space="preserve">.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7925CA">
      <w:pPr>
        <w:pStyle w:val="Odstavecseseznamem"/>
        <w:numPr>
          <w:ilvl w:val="1"/>
          <w:numId w:val="35"/>
        </w:numPr>
        <w:spacing w:after="0"/>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lastRenderedPageBreak/>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byla vypracována v</w:t>
      </w:r>
      <w:r w:rsidR="0031276A">
        <w:rPr>
          <w:noProof/>
        </w:rPr>
        <w:t>e</w:t>
      </w:r>
      <w:r w:rsidRPr="001B0C05">
        <w:rPr>
          <w:noProof/>
        </w:rPr>
        <w:t xml:space="preserve"> </w:t>
      </w:r>
      <w:r w:rsidR="00B15209">
        <w:rPr>
          <w:noProof/>
          <w:highlight w:val="yellow"/>
        </w:rPr>
        <w:t>čtyřech</w:t>
      </w:r>
      <w:r w:rsidRPr="001B0C05">
        <w:rPr>
          <w:noProof/>
        </w:rPr>
        <w:t xml:space="preserve"> vyhotovení</w:t>
      </w:r>
      <w:r w:rsidR="0031276A">
        <w:rPr>
          <w:noProof/>
        </w:rPr>
        <w:t>ch</w:t>
      </w:r>
      <w:r w:rsidRPr="001B0C05">
        <w:rPr>
          <w:noProof/>
        </w:rPr>
        <w:t xml:space="preserve"> s příslušnými  přílohami, které jsou její nedílnou součástí. </w:t>
      </w:r>
      <w:r w:rsidR="00B15209">
        <w:rPr>
          <w:noProof/>
          <w:highlight w:val="yellow"/>
        </w:rPr>
        <w:t>Dvě</w:t>
      </w:r>
      <w:r w:rsidR="0031276A">
        <w:rPr>
          <w:noProof/>
        </w:rPr>
        <w:t xml:space="preserve"> paré obdrží prodávající, dvě</w:t>
      </w:r>
      <w:r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lastRenderedPageBreak/>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w:t>
      </w:r>
      <w:r w:rsidRPr="001B0C05">
        <w:rPr>
          <w:noProof/>
        </w:rPr>
        <w:lastRenderedPageBreak/>
        <w:t>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4209E" w:rsidRDefault="0054209E" w:rsidP="00A7536A">
      <w:pPr>
        <w:pStyle w:val="Odstavecseseznamem"/>
        <w:spacing w:after="0"/>
        <w:ind w:left="1077"/>
        <w:contextualSpacing w:val="0"/>
        <w:rPr>
          <w:noProof/>
        </w:rPr>
      </w:pPr>
      <w:r w:rsidRPr="001B0C05">
        <w:rPr>
          <w:noProof/>
        </w:rPr>
        <w:t>Příloha č</w:t>
      </w:r>
      <w:r w:rsidR="00A7536A">
        <w:rPr>
          <w:noProof/>
        </w:rPr>
        <w:t>. 1: Technická zpráva</w:t>
      </w:r>
    </w:p>
    <w:p w:rsidR="00A7536A" w:rsidRDefault="00A7536A" w:rsidP="0054209E">
      <w:pPr>
        <w:pStyle w:val="Odstavecseseznamem"/>
        <w:ind w:left="1078"/>
        <w:contextualSpacing w:val="0"/>
        <w:rPr>
          <w:noProof/>
        </w:rPr>
      </w:pPr>
      <w:r>
        <w:rPr>
          <w:noProof/>
        </w:rPr>
        <w:t>Příloha č. 2: Ceník</w:t>
      </w:r>
      <w:r w:rsidR="00B15209">
        <w:rPr>
          <w:noProof/>
        </w:rPr>
        <w:t xml:space="preserve"> – Soupis prací 001 – Dodávka turniketů</w:t>
      </w:r>
    </w:p>
    <w:p w:rsidR="00D7414C" w:rsidRDefault="00D7414C" w:rsidP="0054209E">
      <w:pPr>
        <w:pStyle w:val="Odstavecseseznamem"/>
        <w:ind w:left="1078"/>
        <w:contextualSpacing w:val="0"/>
        <w:rPr>
          <w:noProof/>
        </w:rPr>
      </w:pPr>
    </w:p>
    <w:p w:rsidR="0054209E" w:rsidRPr="0019340A" w:rsidRDefault="0054209E" w:rsidP="0054209E">
      <w:pPr>
        <w:tabs>
          <w:tab w:val="left" w:pos="5103"/>
        </w:tabs>
      </w:pPr>
      <w:r w:rsidRPr="0019340A">
        <w:t>V ……… dne ………</w:t>
      </w:r>
      <w:r w:rsidRPr="0019340A">
        <w:tab/>
        <w:t xml:space="preserve">V Praze dne ............................ </w:t>
      </w:r>
    </w:p>
    <w:p w:rsidR="0054209E" w:rsidRDefault="0054209E" w:rsidP="0054209E">
      <w:pPr>
        <w:tabs>
          <w:tab w:val="left" w:pos="5103"/>
        </w:tabs>
      </w:pPr>
      <w:r w:rsidRPr="0019340A">
        <w:t>Prodávající:</w:t>
      </w:r>
      <w:r w:rsidRPr="0019340A">
        <w:tab/>
        <w:t>Kupující:</w:t>
      </w:r>
    </w:p>
    <w:p w:rsidR="0054209E" w:rsidRPr="0019340A" w:rsidRDefault="0054209E" w:rsidP="0054209E">
      <w:pPr>
        <w:tabs>
          <w:tab w:val="left" w:pos="5103"/>
        </w:tabs>
      </w:pP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tab/>
      </w:r>
      <w:r w:rsidRPr="0019340A">
        <w:rPr>
          <w:b/>
        </w:rPr>
        <w:t>Ing. Vladimír Filip</w:t>
      </w:r>
    </w:p>
    <w:p w:rsidR="0054209E" w:rsidRPr="0019340A" w:rsidRDefault="0054209E" w:rsidP="0054209E">
      <w:pPr>
        <w:tabs>
          <w:tab w:val="left" w:pos="5103"/>
        </w:tabs>
        <w:spacing w:after="0"/>
      </w:pPr>
      <w:r w:rsidRPr="0019340A">
        <w:tab/>
        <w:t xml:space="preserve">ředitel </w:t>
      </w:r>
    </w:p>
    <w:p w:rsidR="0054209E" w:rsidRDefault="0054209E" w:rsidP="0054209E">
      <w:pPr>
        <w:tabs>
          <w:tab w:val="left" w:pos="5103"/>
        </w:tabs>
      </w:pPr>
      <w:r w:rsidRPr="0019340A">
        <w:tab/>
        <w:t>Oblastní ředitelství Praha</w:t>
      </w:r>
    </w:p>
    <w:p w:rsidR="00D7414C" w:rsidRDefault="00D7414C" w:rsidP="0054209E"/>
    <w:p w:rsidR="00A7536A" w:rsidRDefault="00A7536A" w:rsidP="0054209E"/>
    <w:p w:rsidR="00D7414C" w:rsidRPr="00A754BD" w:rsidRDefault="00D7414C" w:rsidP="00D7414C">
      <w:pPr>
        <w:tabs>
          <w:tab w:val="center" w:pos="1418"/>
          <w:tab w:val="left" w:pos="5529"/>
          <w:tab w:val="center" w:pos="6379"/>
        </w:tabs>
        <w:rPr>
          <w:i/>
        </w:rPr>
      </w:pPr>
      <w:r w:rsidRPr="008B7C28">
        <w:rPr>
          <w:i/>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rsidR="00D7414C" w:rsidRDefault="00D7414C" w:rsidP="0054209E"/>
    <w:p w:rsidR="0054209E" w:rsidRPr="000B39E3" w:rsidRDefault="0054209E" w:rsidP="0054209E">
      <w:r w:rsidRPr="0019340A">
        <w:t>Tato smlouva byla uveřejněna prostřednictvím Registru smluv dne ……………….</w:t>
      </w:r>
    </w:p>
    <w:p w:rsidR="009F392E" w:rsidRPr="0054209E" w:rsidRDefault="009F392E" w:rsidP="0054209E"/>
    <w:sectPr w:rsidR="009F392E" w:rsidRPr="0054209E"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AC3" w:rsidRDefault="00D92AC3" w:rsidP="00962258">
      <w:pPr>
        <w:spacing w:after="0" w:line="240" w:lineRule="auto"/>
      </w:pPr>
      <w:r>
        <w:separator/>
      </w:r>
    </w:p>
  </w:endnote>
  <w:endnote w:type="continuationSeparator" w:id="0">
    <w:p w:rsidR="00D92AC3" w:rsidRDefault="00D92A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508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5088">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73D88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AAEE9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508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5088">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8C1A96"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06BAA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AC3" w:rsidRDefault="00D92AC3" w:rsidP="00962258">
      <w:pPr>
        <w:spacing w:after="0" w:line="240" w:lineRule="auto"/>
      </w:pPr>
      <w:r>
        <w:separator/>
      </w:r>
    </w:p>
  </w:footnote>
  <w:footnote w:type="continuationSeparator" w:id="0">
    <w:p w:rsidR="00D92AC3" w:rsidRDefault="00D92A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1A4B"/>
    <w:rsid w:val="00072C1E"/>
    <w:rsid w:val="000E23A7"/>
    <w:rsid w:val="0010693F"/>
    <w:rsid w:val="00114472"/>
    <w:rsid w:val="001550BC"/>
    <w:rsid w:val="001605B9"/>
    <w:rsid w:val="00170EC5"/>
    <w:rsid w:val="001747C1"/>
    <w:rsid w:val="00184743"/>
    <w:rsid w:val="00207DF5"/>
    <w:rsid w:val="00280E07"/>
    <w:rsid w:val="002C31BF"/>
    <w:rsid w:val="002D08B1"/>
    <w:rsid w:val="002D35B8"/>
    <w:rsid w:val="002E0CD7"/>
    <w:rsid w:val="0031276A"/>
    <w:rsid w:val="00341DCF"/>
    <w:rsid w:val="00357BC6"/>
    <w:rsid w:val="00391D2B"/>
    <w:rsid w:val="003956C6"/>
    <w:rsid w:val="003D5088"/>
    <w:rsid w:val="003E4E2C"/>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736B7"/>
    <w:rsid w:val="00575E5A"/>
    <w:rsid w:val="005C6C88"/>
    <w:rsid w:val="005D21B3"/>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925CA"/>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6177B"/>
    <w:rsid w:val="00A66136"/>
    <w:rsid w:val="00A7536A"/>
    <w:rsid w:val="00AA4CBB"/>
    <w:rsid w:val="00AA65FA"/>
    <w:rsid w:val="00AA7351"/>
    <w:rsid w:val="00AD056F"/>
    <w:rsid w:val="00AD6731"/>
    <w:rsid w:val="00AF77DB"/>
    <w:rsid w:val="00B15209"/>
    <w:rsid w:val="00B15D0D"/>
    <w:rsid w:val="00B61198"/>
    <w:rsid w:val="00B75EE1"/>
    <w:rsid w:val="00B77481"/>
    <w:rsid w:val="00B8518B"/>
    <w:rsid w:val="00BD7E91"/>
    <w:rsid w:val="00C02D0A"/>
    <w:rsid w:val="00C03A6E"/>
    <w:rsid w:val="00C44F6A"/>
    <w:rsid w:val="00C47AE3"/>
    <w:rsid w:val="00C94D0F"/>
    <w:rsid w:val="00CD1FC4"/>
    <w:rsid w:val="00CE23B7"/>
    <w:rsid w:val="00D21061"/>
    <w:rsid w:val="00D4108E"/>
    <w:rsid w:val="00D6163D"/>
    <w:rsid w:val="00D65DEB"/>
    <w:rsid w:val="00D73D46"/>
    <w:rsid w:val="00D7414C"/>
    <w:rsid w:val="00D831A3"/>
    <w:rsid w:val="00D92AC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E30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7273A9"/>
  <w14:defaultImageDpi w14:val="32767"/>
  <w15:docId w15:val="{C8B5465B-42A9-4998-9F03-A50CFFAC8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FCF0034-3B05-4EC8-B89B-E02B6F8FE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122</TotalTime>
  <Pages>8</Pages>
  <Words>2955</Words>
  <Characters>17440</Characters>
  <Application>Microsoft Office Word</Application>
  <DocSecurity>0</DocSecurity>
  <Lines>145</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16</cp:revision>
  <cp:lastPrinted>2017-11-28T17:18:00Z</cp:lastPrinted>
  <dcterms:created xsi:type="dcterms:W3CDTF">2020-01-24T12:43:00Z</dcterms:created>
  <dcterms:modified xsi:type="dcterms:W3CDTF">2020-02-12T12:05:00Z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