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F1454B" w14:textId="15A2758B" w:rsidR="004E1498" w:rsidRDefault="00F076A0"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Příloha č. 5</w:t>
      </w:r>
      <w:r w:rsidR="00DB295F" w:rsidRPr="00DB295F">
        <w:rPr>
          <w:rFonts w:eastAsia="Times New Roman" w:cs="Times New Roman"/>
          <w:lang w:eastAsia="cs-CZ"/>
        </w:rPr>
        <w:t xml:space="preserve"> Výzvy k podání nabídky</w:t>
      </w:r>
    </w:p>
    <w:p w14:paraId="4278C956" w14:textId="77777777" w:rsidR="00DB295F" w:rsidRPr="004E1498" w:rsidRDefault="00DB295F"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6EFC06E4" w14:textId="6E54831F" w:rsidR="004E1498" w:rsidRPr="006062F9" w:rsidRDefault="009A0078" w:rsidP="00F969C4">
      <w:pPr>
        <w:pStyle w:val="Nzev"/>
        <w:jc w:val="left"/>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503B7A">
      <w:pPr>
        <w:rPr>
          <w:highlight w:val="yellow"/>
        </w:rPr>
      </w:pPr>
    </w:p>
    <w:p w14:paraId="3115411F" w14:textId="77777777" w:rsidR="00503B7A" w:rsidRPr="00503B7A" w:rsidRDefault="00503B7A" w:rsidP="00503B7A">
      <w:pPr>
        <w:rPr>
          <w:b/>
          <w:highlight w:val="yellow"/>
        </w:rPr>
      </w:pPr>
      <w:r w:rsidRPr="00503B7A">
        <w:rPr>
          <w:b/>
          <w:highlight w:val="yellow"/>
        </w:rPr>
        <w:t>Číslo smlouvy objednatele ………………</w:t>
      </w:r>
    </w:p>
    <w:p w14:paraId="36590FA2" w14:textId="17700D1E" w:rsidR="00503B7A" w:rsidRPr="00503B7A" w:rsidRDefault="00503B7A" w:rsidP="00503B7A">
      <w:pPr>
        <w:rPr>
          <w:highlight w:val="yellow"/>
        </w:rPr>
      </w:pPr>
      <w:r w:rsidRPr="00503B7A">
        <w:rPr>
          <w:b/>
          <w:highlight w:val="yellow"/>
        </w:rPr>
        <w:t>Číslo smlouvy zhotovitele ………………</w:t>
      </w: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0345DCE1"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sidR="00234664">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sp.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A44472F" w14:textId="416B30BD"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Pr="00F076A0">
        <w:rPr>
          <w:rFonts w:eastAsia="Times New Roman" w:cs="Times New Roman"/>
          <w:lang w:eastAsia="cs-CZ"/>
        </w:rPr>
        <w:t xml:space="preserve">zastoupená </w:t>
      </w:r>
      <w:r w:rsidR="00D5431B">
        <w:rPr>
          <w:rFonts w:ascii="Calibri" w:hAnsi="Calibri"/>
          <w:b/>
          <w:sz w:val="22"/>
          <w:szCs w:val="22"/>
        </w:rPr>
        <w:t>Ing. Alešem Krejčím, náměstkem GŘ pro ekonomiku</w:t>
      </w:r>
    </w:p>
    <w:p w14:paraId="686BA1F9"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4CC3B95E" w14:textId="672784B1" w:rsidR="004E1498" w:rsidRPr="004E1498" w:rsidRDefault="006062F9" w:rsidP="00592757">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                    </w:t>
      </w: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034D584" w:rsidR="008E1E86" w:rsidRPr="000A13BC" w:rsidRDefault="00E73DA0"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b/>
          <w:highlight w:val="yellow"/>
          <w:lang w:eastAsia="cs-CZ"/>
        </w:rPr>
        <w:t>Poskytovatel</w:t>
      </w:r>
      <w:r w:rsidR="008E1E86" w:rsidRPr="000A13BC">
        <w:rPr>
          <w:rFonts w:eastAsia="Times New Roman" w:cs="Times New Roman"/>
          <w:b/>
          <w:highlight w:val="yellow"/>
          <w:lang w:eastAsia="cs-CZ"/>
        </w:rPr>
        <w:t>:</w:t>
      </w:r>
      <w:r w:rsidR="008E1E86" w:rsidRPr="000A13BC">
        <w:rPr>
          <w:rFonts w:eastAsia="Times New Roman" w:cs="Times New Roman"/>
          <w:highlight w:val="yellow"/>
          <w:lang w:eastAsia="cs-CZ"/>
        </w:rPr>
        <w:tab/>
      </w:r>
      <w:r w:rsidR="008E1E86" w:rsidRPr="000A13BC">
        <w:rPr>
          <w:rFonts w:eastAsia="Times New Roman" w:cs="Times New Roman"/>
          <w:i/>
          <w:highlight w:val="yellow"/>
          <w:lang w:eastAsia="cs-CZ"/>
        </w:rPr>
        <w:t>jméno osoby/název firmy</w:t>
      </w:r>
    </w:p>
    <w:p w14:paraId="19E73E8B"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zápisu v evidenci</w:t>
      </w:r>
    </w:p>
    <w:p w14:paraId="57570FFE"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Sídlo:</w:t>
      </w:r>
    </w:p>
    <w:p w14:paraId="420D77A3"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t>IČO ……………………, DIČ …………………</w:t>
      </w:r>
    </w:p>
    <w:p w14:paraId="19B3856E"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Bankovní spojení:……………………..</w:t>
      </w:r>
    </w:p>
    <w:p w14:paraId="17127EF1"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Číslo účtu:…………………………..</w:t>
      </w:r>
    </w:p>
    <w:p w14:paraId="3B9C9CF2"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statutárním orgánu nebo jiné oprávněné osobě</w:t>
      </w:r>
    </w:p>
    <w:p w14:paraId="023DCF01"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11E6F3FE" w14:textId="66FB8C37" w:rsidR="004E1498" w:rsidRPr="004E1498" w:rsidRDefault="004E1498" w:rsidP="00661F65">
      <w:pPr>
        <w:jc w:val="both"/>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006062F9" w:rsidRPr="006062F9">
        <w:rPr>
          <w:rFonts w:eastAsia="Times New Roman" w:cs="Times New Roman"/>
          <w:b/>
          <w:lang w:eastAsia="cs-CZ"/>
        </w:rPr>
        <w:t>„</w:t>
      </w:r>
      <w:r w:rsidR="00D5431B">
        <w:rPr>
          <w:b/>
        </w:rPr>
        <w:t xml:space="preserve">Podpora provozu a údržba </w:t>
      </w:r>
      <w:r w:rsidR="004338E5">
        <w:rPr>
          <w:b/>
        </w:rPr>
        <w:t>aplikace 85079 E-ZAK</w:t>
      </w:r>
      <w:r w:rsidR="006062F9" w:rsidRPr="006062F9">
        <w:rPr>
          <w:rFonts w:eastAsia="Times New Roman" w:cs="Times New Roman"/>
          <w:lang w:eastAsia="cs-CZ"/>
        </w:rPr>
        <w:t xml:space="preserve">“, č. j. veřejné zakázky: </w:t>
      </w:r>
      <w:r w:rsidR="00CE7923">
        <w:rPr>
          <w:rFonts w:eastAsia="Times New Roman" w:cs="Times New Roman"/>
          <w:lang w:eastAsia="cs-CZ"/>
        </w:rPr>
        <w:t>78836</w:t>
      </w:r>
      <w:r w:rsidR="00A75834">
        <w:rPr>
          <w:rFonts w:eastAsia="Times New Roman" w:cs="Times New Roman"/>
          <w:lang w:eastAsia="cs-CZ"/>
        </w:rPr>
        <w:t>/</w:t>
      </w:r>
      <w:r w:rsidR="006062F9" w:rsidRPr="006062F9">
        <w:rPr>
          <w:rFonts w:eastAsia="Times New Roman" w:cs="Times New Roman"/>
          <w:lang w:eastAsia="cs-CZ"/>
        </w:rPr>
        <w:t xml:space="preserve">2019-SŽDC-GŘ-O8 (dále jen „veřejná zakázka“). Jednotlivá ustanovení této smlouvy tak budou vykládána v souladu se zadávacími podmínkami veřejné zakázky. </w:t>
      </w:r>
    </w:p>
    <w:p w14:paraId="642B196F" w14:textId="13C14B28" w:rsidR="004E1498" w:rsidRPr="00950C1F" w:rsidRDefault="00E73DA0" w:rsidP="00592757">
      <w:pPr>
        <w:pStyle w:val="Nadpis1"/>
      </w:pPr>
      <w:r>
        <w:t>Služby</w:t>
      </w:r>
    </w:p>
    <w:p w14:paraId="75B8D031" w14:textId="4552A603" w:rsidR="004E1498" w:rsidRPr="006062F9" w:rsidRDefault="00E73DA0" w:rsidP="00592757">
      <w:pPr>
        <w:pStyle w:val="Nadpis2"/>
        <w:jc w:val="left"/>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77777777" w:rsidR="004E1498" w:rsidRPr="006062F9" w:rsidRDefault="004E1498" w:rsidP="00592757">
      <w:pPr>
        <w:pStyle w:val="Nadpis1"/>
        <w:rPr>
          <w:rFonts w:eastAsia="Times New Roman"/>
          <w:lang w:eastAsia="cs-CZ"/>
        </w:rPr>
      </w:pPr>
      <w:r w:rsidRPr="006062F9">
        <w:rPr>
          <w:rFonts w:eastAsia="Times New Roman"/>
          <w:lang w:eastAsia="cs-CZ"/>
        </w:rPr>
        <w:t>Předmět díla</w:t>
      </w:r>
    </w:p>
    <w:p w14:paraId="78A9369C" w14:textId="77777777" w:rsidR="00D5431B" w:rsidRDefault="004E1498" w:rsidP="00D5431B">
      <w:pPr>
        <w:pStyle w:val="Nadpis2"/>
      </w:pPr>
      <w:r w:rsidRPr="006062F9">
        <w:t xml:space="preserve">Předmětem </w:t>
      </w:r>
      <w:r w:rsidR="00E73DA0" w:rsidRPr="006062F9">
        <w:t>služeb</w:t>
      </w:r>
      <w:r w:rsidRPr="006062F9">
        <w:t xml:space="preserve"> je </w:t>
      </w:r>
      <w:r w:rsidR="00D5431B" w:rsidRPr="00D81C2D">
        <w:t xml:space="preserve">zajištění služby provozní podpory a provozní údržby el. systému </w:t>
      </w:r>
    </w:p>
    <w:p w14:paraId="0E6CE942" w14:textId="7F1F8E76" w:rsidR="00D5431B" w:rsidRDefault="00D5431B" w:rsidP="00D5431B">
      <w:pPr>
        <w:pStyle w:val="Nadpis2"/>
        <w:numPr>
          <w:ilvl w:val="0"/>
          <w:numId w:val="0"/>
        </w:numPr>
        <w:ind w:left="576"/>
      </w:pPr>
      <w:r w:rsidRPr="00D81C2D">
        <w:t>E-ZAK na dobu neurčitou.</w:t>
      </w:r>
      <w:r>
        <w:t xml:space="preserve"> </w:t>
      </w:r>
    </w:p>
    <w:p w14:paraId="6FE42FA3" w14:textId="2917BAFB" w:rsidR="00661F65" w:rsidRPr="00672505" w:rsidRDefault="00661F65" w:rsidP="00D5431B">
      <w:pPr>
        <w:pStyle w:val="Nadpis2"/>
        <w:numPr>
          <w:ilvl w:val="0"/>
          <w:numId w:val="0"/>
        </w:numPr>
        <w:rPr>
          <w:b/>
        </w:rPr>
      </w:pPr>
    </w:p>
    <w:p w14:paraId="20046AC4" w14:textId="77777777" w:rsidR="00661F65" w:rsidRPr="00672505" w:rsidRDefault="00661F65" w:rsidP="00661F65">
      <w:pPr>
        <w:tabs>
          <w:tab w:val="left" w:pos="567"/>
        </w:tabs>
        <w:spacing w:before="120" w:after="120" w:line="276" w:lineRule="auto"/>
        <w:jc w:val="both"/>
      </w:pPr>
      <w:r w:rsidRPr="00672505">
        <w:t>Předmět plnění zahrnuje následující činnosti:</w:t>
      </w:r>
    </w:p>
    <w:p w14:paraId="6480A011" w14:textId="1A781F4F" w:rsidR="00661F65" w:rsidRDefault="00D5431B" w:rsidP="00D5431B">
      <w:pPr>
        <w:pStyle w:val="Odstavecseseznamem"/>
        <w:numPr>
          <w:ilvl w:val="0"/>
          <w:numId w:val="40"/>
        </w:numPr>
        <w:tabs>
          <w:tab w:val="left" w:pos="567"/>
        </w:tabs>
        <w:spacing w:before="120" w:after="0" w:line="276" w:lineRule="auto"/>
        <w:jc w:val="both"/>
      </w:pPr>
      <w:r>
        <w:t>Provozní podpora</w:t>
      </w:r>
    </w:p>
    <w:p w14:paraId="0D55D1C0" w14:textId="1E621663" w:rsidR="00D5431B" w:rsidRDefault="00D5431B" w:rsidP="00D5431B">
      <w:pPr>
        <w:pStyle w:val="Odstavecseseznamem"/>
        <w:numPr>
          <w:ilvl w:val="0"/>
          <w:numId w:val="40"/>
        </w:numPr>
        <w:tabs>
          <w:tab w:val="left" w:pos="567"/>
        </w:tabs>
        <w:spacing w:before="120" w:after="0" w:line="276" w:lineRule="auto"/>
        <w:jc w:val="both"/>
      </w:pPr>
      <w:r>
        <w:t>Provozní údržba</w:t>
      </w:r>
    </w:p>
    <w:p w14:paraId="3401880B" w14:textId="752B25C8" w:rsidR="00D5431B" w:rsidRDefault="00D5431B" w:rsidP="00D5431B">
      <w:pPr>
        <w:pStyle w:val="Odstavecseseznamem"/>
        <w:numPr>
          <w:ilvl w:val="0"/>
          <w:numId w:val="40"/>
        </w:numPr>
        <w:tabs>
          <w:tab w:val="left" w:pos="567"/>
        </w:tabs>
        <w:spacing w:before="120" w:after="0" w:line="276" w:lineRule="auto"/>
        <w:jc w:val="both"/>
      </w:pPr>
      <w:r>
        <w:t>Neomezená licence</w:t>
      </w:r>
    </w:p>
    <w:p w14:paraId="3589953A" w14:textId="687C5536" w:rsidR="00661F65" w:rsidRPr="0035202F" w:rsidRDefault="00661F65" w:rsidP="00661F65">
      <w:pPr>
        <w:tabs>
          <w:tab w:val="left" w:pos="567"/>
        </w:tabs>
        <w:spacing w:after="0" w:line="276" w:lineRule="auto"/>
        <w:jc w:val="both"/>
      </w:pPr>
    </w:p>
    <w:p w14:paraId="03F039C6" w14:textId="3DD6AE29" w:rsidR="004E1498" w:rsidRPr="006062F9" w:rsidRDefault="004E1498" w:rsidP="00661F65">
      <w:pPr>
        <w:pStyle w:val="Nadpis2"/>
        <w:numPr>
          <w:ilvl w:val="0"/>
          <w:numId w:val="0"/>
        </w:numPr>
        <w:ind w:left="576"/>
        <w:jc w:val="left"/>
      </w:pPr>
    </w:p>
    <w:p w14:paraId="31E5226B" w14:textId="2FCB45F9" w:rsidR="004E1498" w:rsidRPr="006062F9" w:rsidRDefault="00D5431B" w:rsidP="00592757">
      <w:pPr>
        <w:pStyle w:val="Nadpis2"/>
        <w:jc w:val="left"/>
        <w:rPr>
          <w:rFonts w:asciiTheme="majorHAnsi" w:hAnsiTheme="majorHAnsi"/>
        </w:rPr>
      </w:pPr>
      <w:r>
        <w:t>Bližší specifikace el. systému je přílohou č. 1 této S</w:t>
      </w:r>
      <w:r w:rsidR="004E1498" w:rsidRPr="006062F9">
        <w:rPr>
          <w:rFonts w:asciiTheme="majorHAnsi" w:hAnsiTheme="majorHAnsi"/>
        </w:rPr>
        <w:t>mlouvy.</w:t>
      </w:r>
    </w:p>
    <w:p w14:paraId="46BE6221" w14:textId="7D7DB38B" w:rsidR="006062F9" w:rsidRPr="006062F9" w:rsidRDefault="00D5431B" w:rsidP="006062F9">
      <w:pPr>
        <w:pStyle w:val="Nadpis2"/>
        <w:jc w:val="left"/>
        <w:rPr>
          <w:rFonts w:asciiTheme="majorHAnsi" w:hAnsiTheme="majorHAnsi"/>
          <w:bCs/>
          <w:iCs/>
        </w:rPr>
      </w:pPr>
      <w:r>
        <w:t>Bližší specifikace podpory provozu a provozní údržby je přílohou č. 2 této</w:t>
      </w:r>
      <w:r w:rsidR="006062F9" w:rsidRPr="006062F9">
        <w:rPr>
          <w:rFonts w:asciiTheme="majorHAnsi" w:hAnsiTheme="majorHAnsi"/>
          <w:bCs/>
          <w:iCs/>
        </w:rPr>
        <w:t xml:space="preserve"> Smlouvy.</w:t>
      </w:r>
    </w:p>
    <w:p w14:paraId="318B22A5" w14:textId="77777777" w:rsidR="006062F9" w:rsidRPr="006062F9" w:rsidRDefault="006062F9" w:rsidP="006062F9">
      <w:pPr>
        <w:pStyle w:val="Nadpis2"/>
        <w:numPr>
          <w:ilvl w:val="0"/>
          <w:numId w:val="0"/>
        </w:numPr>
        <w:jc w:val="left"/>
      </w:pPr>
    </w:p>
    <w:p w14:paraId="600D21AE" w14:textId="1C3F96B9" w:rsidR="004E1498" w:rsidRPr="006062F9" w:rsidRDefault="004E1498" w:rsidP="00592757">
      <w:pPr>
        <w:pStyle w:val="Nadpis1"/>
        <w:rPr>
          <w:rFonts w:eastAsia="Times New Roman"/>
          <w:lang w:eastAsia="cs-CZ"/>
        </w:rPr>
      </w:pPr>
      <w:r w:rsidRPr="006062F9">
        <w:rPr>
          <w:rFonts w:eastAsia="Times New Roman"/>
          <w:lang w:eastAsia="cs-CZ"/>
        </w:rPr>
        <w:lastRenderedPageBreak/>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4C25E5D0" w14:textId="10678BD8" w:rsidR="00661F65" w:rsidRPr="00661F65" w:rsidRDefault="00661F65" w:rsidP="00661F65">
      <w:pPr>
        <w:pStyle w:val="Odstavecseseznamem"/>
        <w:numPr>
          <w:ilvl w:val="1"/>
          <w:numId w:val="18"/>
        </w:numPr>
        <w:spacing w:after="0" w:line="240" w:lineRule="auto"/>
        <w:ind w:hanging="720"/>
        <w:jc w:val="both"/>
        <w:rPr>
          <w:rFonts w:asciiTheme="majorHAnsi" w:hAnsiTheme="majorHAnsi" w:cs="Calibri"/>
          <w:b/>
        </w:rPr>
      </w:pPr>
      <w:r w:rsidRPr="00661F65">
        <w:rPr>
          <w:rFonts w:asciiTheme="majorHAnsi" w:hAnsiTheme="majorHAnsi" w:cs="Calibri"/>
          <w:b/>
        </w:rPr>
        <w:t xml:space="preserve">Cena za </w:t>
      </w:r>
      <w:r w:rsidR="00D5431B">
        <w:rPr>
          <w:rFonts w:asciiTheme="majorHAnsi" w:hAnsiTheme="majorHAnsi" w:cs="Calibri"/>
          <w:b/>
        </w:rPr>
        <w:t>provozní</w:t>
      </w:r>
      <w:r w:rsidRPr="00661F65">
        <w:rPr>
          <w:rFonts w:asciiTheme="majorHAnsi" w:hAnsiTheme="majorHAnsi" w:cs="Calibri"/>
          <w:b/>
        </w:rPr>
        <w:t xml:space="preserve"> údržbu</w:t>
      </w:r>
    </w:p>
    <w:p w14:paraId="64EE326E" w14:textId="009E0BE5" w:rsidR="00661F65" w:rsidRPr="00661F65" w:rsidRDefault="00661F65" w:rsidP="00661F65">
      <w:pPr>
        <w:pStyle w:val="Odstavecseseznamem"/>
        <w:numPr>
          <w:ilvl w:val="2"/>
          <w:numId w:val="18"/>
        </w:numPr>
        <w:spacing w:after="0" w:line="240" w:lineRule="auto"/>
        <w:jc w:val="both"/>
        <w:rPr>
          <w:rFonts w:asciiTheme="majorHAnsi" w:hAnsiTheme="majorHAnsi"/>
        </w:rPr>
      </w:pPr>
      <w:r w:rsidRPr="00661F65">
        <w:rPr>
          <w:rFonts w:asciiTheme="majorHAnsi" w:hAnsiTheme="majorHAnsi"/>
        </w:rPr>
        <w:t xml:space="preserve">Cena za 1 </w:t>
      </w:r>
      <w:r w:rsidR="00D5431B">
        <w:rPr>
          <w:rFonts w:asciiTheme="majorHAnsi" w:hAnsiTheme="majorHAnsi"/>
        </w:rPr>
        <w:t>MD</w:t>
      </w:r>
      <w:r w:rsidRPr="00661F65">
        <w:rPr>
          <w:rFonts w:asciiTheme="majorHAnsi" w:hAnsiTheme="majorHAnsi"/>
        </w:rPr>
        <w:t xml:space="preserve"> bez DPH </w:t>
      </w:r>
      <w:r w:rsidRPr="00661F65">
        <w:rPr>
          <w:rFonts w:asciiTheme="majorHAnsi" w:hAnsiTheme="majorHAnsi"/>
        </w:rPr>
        <w:tab/>
      </w:r>
      <w:r w:rsidRPr="00661F65">
        <w:rPr>
          <w:rFonts w:asciiTheme="majorHAnsi" w:hAnsiTheme="majorHAnsi"/>
        </w:rPr>
        <w:tab/>
      </w:r>
      <w:r>
        <w:rPr>
          <w:rFonts w:asciiTheme="majorHAnsi" w:hAnsiTheme="majorHAnsi"/>
        </w:rPr>
        <w:t xml:space="preserve"> </w:t>
      </w:r>
      <w:r w:rsidRPr="00661F65">
        <w:rPr>
          <w:rFonts w:asciiTheme="majorHAnsi" w:hAnsiTheme="majorHAnsi"/>
          <w:highlight w:val="yellow"/>
        </w:rPr>
        <w:t>……………….</w:t>
      </w:r>
      <w:r w:rsidRPr="00661F65">
        <w:rPr>
          <w:rFonts w:asciiTheme="majorHAnsi" w:hAnsiTheme="majorHAnsi"/>
        </w:rPr>
        <w:t xml:space="preserve"> Kč. </w:t>
      </w:r>
    </w:p>
    <w:p w14:paraId="211185F2" w14:textId="2CCDEB53" w:rsidR="00661F65" w:rsidRPr="00661F65" w:rsidRDefault="00D5431B" w:rsidP="00661F65">
      <w:pPr>
        <w:pStyle w:val="Odstavecseseznamem"/>
        <w:numPr>
          <w:ilvl w:val="2"/>
          <w:numId w:val="18"/>
        </w:numPr>
        <w:spacing w:after="0" w:line="240" w:lineRule="auto"/>
        <w:jc w:val="both"/>
        <w:rPr>
          <w:rFonts w:asciiTheme="majorHAnsi" w:hAnsiTheme="majorHAnsi"/>
        </w:rPr>
      </w:pPr>
      <w:r>
        <w:rPr>
          <w:rFonts w:asciiTheme="majorHAnsi" w:hAnsiTheme="majorHAnsi"/>
        </w:rPr>
        <w:t xml:space="preserve">Výše DPH 21%     </w:t>
      </w:r>
      <w:r>
        <w:rPr>
          <w:rFonts w:asciiTheme="majorHAnsi" w:hAnsiTheme="majorHAnsi"/>
        </w:rPr>
        <w:tab/>
      </w:r>
      <w:r>
        <w:rPr>
          <w:rFonts w:asciiTheme="majorHAnsi" w:hAnsiTheme="majorHAnsi"/>
        </w:rPr>
        <w:tab/>
      </w:r>
      <w:r>
        <w:rPr>
          <w:rFonts w:asciiTheme="majorHAnsi" w:hAnsiTheme="majorHAnsi"/>
        </w:rPr>
        <w:tab/>
        <w:t xml:space="preserve"> </w:t>
      </w:r>
      <w:r w:rsidR="00661F65" w:rsidRPr="00661F65">
        <w:rPr>
          <w:rFonts w:asciiTheme="majorHAnsi" w:hAnsiTheme="majorHAnsi"/>
          <w:highlight w:val="yellow"/>
        </w:rPr>
        <w:t>……………….</w:t>
      </w:r>
      <w:r w:rsidR="00661F65" w:rsidRPr="00661F65">
        <w:rPr>
          <w:rFonts w:asciiTheme="majorHAnsi" w:hAnsiTheme="majorHAnsi"/>
        </w:rPr>
        <w:t xml:space="preserve"> Kč.</w:t>
      </w:r>
    </w:p>
    <w:p w14:paraId="384C628A" w14:textId="77954D4A" w:rsidR="00661F65" w:rsidRPr="00661F65" w:rsidRDefault="00661F65" w:rsidP="00661F65">
      <w:pPr>
        <w:pStyle w:val="Odstavecseseznamem"/>
        <w:numPr>
          <w:ilvl w:val="2"/>
          <w:numId w:val="18"/>
        </w:numPr>
        <w:spacing w:after="0" w:line="240" w:lineRule="auto"/>
        <w:jc w:val="both"/>
        <w:rPr>
          <w:rFonts w:asciiTheme="majorHAnsi" w:hAnsiTheme="majorHAnsi"/>
        </w:rPr>
      </w:pPr>
      <w:r w:rsidRPr="00661F65">
        <w:rPr>
          <w:rFonts w:asciiTheme="majorHAnsi" w:hAnsiTheme="majorHAnsi"/>
        </w:rPr>
        <w:t xml:space="preserve">Cena za 1 </w:t>
      </w:r>
      <w:r w:rsidR="00D5431B">
        <w:rPr>
          <w:rFonts w:asciiTheme="majorHAnsi" w:hAnsiTheme="majorHAnsi"/>
        </w:rPr>
        <w:t>MD</w:t>
      </w:r>
      <w:r w:rsidRPr="00661F65">
        <w:rPr>
          <w:rFonts w:asciiTheme="majorHAnsi" w:hAnsiTheme="majorHAnsi"/>
        </w:rPr>
        <w:t xml:space="preserve"> včetně DPH </w:t>
      </w:r>
      <w:r w:rsidRPr="00661F65">
        <w:rPr>
          <w:rFonts w:asciiTheme="majorHAnsi" w:hAnsiTheme="majorHAnsi"/>
        </w:rPr>
        <w:tab/>
      </w:r>
      <w:r w:rsidRPr="00661F65">
        <w:rPr>
          <w:rFonts w:asciiTheme="majorHAnsi" w:hAnsiTheme="majorHAnsi"/>
        </w:rPr>
        <w:tab/>
        <w:t xml:space="preserve"> </w:t>
      </w:r>
      <w:r w:rsidRPr="00661F65">
        <w:rPr>
          <w:rFonts w:asciiTheme="majorHAnsi" w:hAnsiTheme="majorHAnsi"/>
          <w:highlight w:val="yellow"/>
        </w:rPr>
        <w:t>……………….</w:t>
      </w:r>
      <w:r w:rsidRPr="00661F65">
        <w:rPr>
          <w:rFonts w:asciiTheme="majorHAnsi" w:hAnsiTheme="majorHAnsi"/>
        </w:rPr>
        <w:t xml:space="preserve"> Kč.</w:t>
      </w:r>
    </w:p>
    <w:p w14:paraId="656D28DD" w14:textId="77777777" w:rsidR="00661F65" w:rsidRPr="00661F65" w:rsidRDefault="00661F65" w:rsidP="00661F65">
      <w:pPr>
        <w:pStyle w:val="Odstavecseseznamem"/>
        <w:ind w:left="709"/>
        <w:jc w:val="both"/>
        <w:rPr>
          <w:rFonts w:asciiTheme="majorHAnsi" w:hAnsiTheme="majorHAnsi"/>
        </w:rPr>
      </w:pPr>
    </w:p>
    <w:p w14:paraId="27C5933C" w14:textId="5D1FF7BB" w:rsidR="00661F65" w:rsidRPr="00661F65" w:rsidRDefault="00B5748C" w:rsidP="00661F65">
      <w:pPr>
        <w:pStyle w:val="Odstavecseseznamem"/>
        <w:ind w:left="709"/>
        <w:jc w:val="both"/>
        <w:rPr>
          <w:rFonts w:asciiTheme="majorHAnsi" w:hAnsiTheme="majorHAnsi"/>
        </w:rPr>
      </w:pPr>
      <w:r>
        <w:rPr>
          <w:rFonts w:asciiTheme="majorHAnsi" w:hAnsiTheme="majorHAnsi"/>
        </w:rPr>
        <w:t>Objednatel je oprávněn objednat až 30 MD za rok</w:t>
      </w:r>
      <w:r w:rsidR="00661F65" w:rsidRPr="00661F65">
        <w:rPr>
          <w:rFonts w:asciiTheme="majorHAnsi" w:hAnsiTheme="majorHAnsi"/>
        </w:rPr>
        <w:t>.</w:t>
      </w:r>
    </w:p>
    <w:p w14:paraId="61AE1C51" w14:textId="74BB34B1" w:rsidR="00661F65" w:rsidRPr="00661F65" w:rsidRDefault="00661F65" w:rsidP="00661F65">
      <w:pPr>
        <w:pStyle w:val="Odstavecseseznamem"/>
        <w:numPr>
          <w:ilvl w:val="1"/>
          <w:numId w:val="18"/>
        </w:numPr>
        <w:spacing w:after="0" w:line="240" w:lineRule="auto"/>
        <w:ind w:hanging="720"/>
        <w:jc w:val="both"/>
        <w:rPr>
          <w:rFonts w:asciiTheme="majorHAnsi" w:hAnsiTheme="majorHAnsi"/>
          <w:b/>
        </w:rPr>
      </w:pPr>
      <w:r w:rsidRPr="00661F65">
        <w:rPr>
          <w:rFonts w:asciiTheme="majorHAnsi" w:hAnsiTheme="majorHAnsi"/>
          <w:b/>
        </w:rPr>
        <w:t xml:space="preserve">Cena za </w:t>
      </w:r>
      <w:r w:rsidR="00533209">
        <w:rPr>
          <w:rFonts w:asciiTheme="majorHAnsi" w:hAnsiTheme="majorHAnsi"/>
          <w:b/>
        </w:rPr>
        <w:t>provozní</w:t>
      </w:r>
      <w:r w:rsidRPr="00661F65">
        <w:rPr>
          <w:rFonts w:asciiTheme="majorHAnsi" w:hAnsiTheme="majorHAnsi"/>
          <w:b/>
        </w:rPr>
        <w:t xml:space="preserve"> podporu</w:t>
      </w:r>
    </w:p>
    <w:p w14:paraId="2B71F8B0" w14:textId="33AEDEBE" w:rsidR="000720DD" w:rsidRDefault="00661F65" w:rsidP="000720DD">
      <w:pPr>
        <w:pStyle w:val="Odstavecseseznamem"/>
        <w:numPr>
          <w:ilvl w:val="2"/>
          <w:numId w:val="18"/>
        </w:numPr>
        <w:spacing w:after="0" w:line="240" w:lineRule="auto"/>
        <w:jc w:val="both"/>
        <w:rPr>
          <w:rFonts w:asciiTheme="majorHAnsi" w:hAnsiTheme="majorHAnsi"/>
        </w:rPr>
      </w:pPr>
      <w:r w:rsidRPr="00661F65">
        <w:rPr>
          <w:rFonts w:asciiTheme="majorHAnsi" w:hAnsiTheme="majorHAnsi"/>
        </w:rPr>
        <w:t xml:space="preserve">Cena za servisní podporu je stanovena paušální měsíční částkou, a to ve výši </w:t>
      </w:r>
      <w:r w:rsidRPr="006C741A">
        <w:rPr>
          <w:rFonts w:asciiTheme="majorHAnsi" w:hAnsiTheme="majorHAnsi"/>
          <w:highlight w:val="yellow"/>
        </w:rPr>
        <w:t>…………………</w:t>
      </w:r>
      <w:r w:rsidRPr="00661F65">
        <w:rPr>
          <w:rFonts w:asciiTheme="majorHAnsi" w:hAnsiTheme="majorHAnsi"/>
        </w:rPr>
        <w:t xml:space="preserve"> Kč bez DPH, </w:t>
      </w:r>
      <w:r w:rsidRPr="006C741A">
        <w:rPr>
          <w:rFonts w:asciiTheme="majorHAnsi" w:hAnsiTheme="majorHAnsi"/>
          <w:highlight w:val="yellow"/>
        </w:rPr>
        <w:t>……………………..</w:t>
      </w:r>
      <w:r w:rsidRPr="00661F65">
        <w:rPr>
          <w:rFonts w:asciiTheme="majorHAnsi" w:hAnsiTheme="majorHAnsi"/>
        </w:rPr>
        <w:t xml:space="preserve"> výše DPH 21%, </w:t>
      </w:r>
      <w:r w:rsidRPr="006C741A">
        <w:rPr>
          <w:rFonts w:asciiTheme="majorHAnsi" w:hAnsiTheme="majorHAnsi"/>
          <w:highlight w:val="yellow"/>
        </w:rPr>
        <w:t>…………………..</w:t>
      </w:r>
      <w:r w:rsidRPr="00661F65">
        <w:rPr>
          <w:rFonts w:asciiTheme="majorHAnsi" w:hAnsiTheme="majorHAnsi"/>
        </w:rPr>
        <w:t xml:space="preserve"> Kč s DPH.</w:t>
      </w:r>
    </w:p>
    <w:p w14:paraId="56A3FA49" w14:textId="5C29A479" w:rsidR="006C741A" w:rsidRDefault="006C741A" w:rsidP="000720DD">
      <w:pPr>
        <w:pStyle w:val="Odstavecseseznamem"/>
        <w:numPr>
          <w:ilvl w:val="2"/>
          <w:numId w:val="18"/>
        </w:numPr>
        <w:spacing w:after="0" w:line="240" w:lineRule="auto"/>
        <w:jc w:val="both"/>
        <w:rPr>
          <w:rFonts w:asciiTheme="majorHAnsi" w:hAnsiTheme="majorHAnsi"/>
        </w:rPr>
      </w:pPr>
      <w:r>
        <w:rPr>
          <w:rFonts w:asciiTheme="majorHAnsi" w:hAnsiTheme="majorHAnsi"/>
        </w:rPr>
        <w:t xml:space="preserve">Cena paušálu za servisní podporu připadající na 3 měsíce je stanovena částkou </w:t>
      </w:r>
      <w:r w:rsidRPr="006C741A">
        <w:rPr>
          <w:rFonts w:asciiTheme="majorHAnsi" w:hAnsiTheme="majorHAnsi"/>
          <w:highlight w:val="yellow"/>
        </w:rPr>
        <w:t>…………………</w:t>
      </w:r>
      <w:r w:rsidRPr="00661F65">
        <w:rPr>
          <w:rFonts w:asciiTheme="majorHAnsi" w:hAnsiTheme="majorHAnsi"/>
        </w:rPr>
        <w:t xml:space="preserve"> Kč bez DPH, </w:t>
      </w:r>
      <w:r w:rsidRPr="006C741A">
        <w:rPr>
          <w:rFonts w:asciiTheme="majorHAnsi" w:hAnsiTheme="majorHAnsi"/>
          <w:highlight w:val="yellow"/>
        </w:rPr>
        <w:t>……………………..</w:t>
      </w:r>
      <w:r w:rsidRPr="00661F65">
        <w:rPr>
          <w:rFonts w:asciiTheme="majorHAnsi" w:hAnsiTheme="majorHAnsi"/>
        </w:rPr>
        <w:t xml:space="preserve"> výše DPH 21%, </w:t>
      </w:r>
      <w:r w:rsidRPr="006C741A">
        <w:rPr>
          <w:rFonts w:asciiTheme="majorHAnsi" w:hAnsiTheme="majorHAnsi"/>
          <w:highlight w:val="yellow"/>
        </w:rPr>
        <w:t>…………………..</w:t>
      </w:r>
      <w:r w:rsidRPr="00661F65">
        <w:rPr>
          <w:rFonts w:asciiTheme="majorHAnsi" w:hAnsiTheme="majorHAnsi"/>
        </w:rPr>
        <w:t xml:space="preserve"> Kč s DPH.</w:t>
      </w:r>
    </w:p>
    <w:p w14:paraId="4653442F" w14:textId="45A72FB5" w:rsidR="000720DD" w:rsidRDefault="00674F80" w:rsidP="00674F80">
      <w:pPr>
        <w:pStyle w:val="Odstavecseseznamem"/>
        <w:numPr>
          <w:ilvl w:val="1"/>
          <w:numId w:val="18"/>
        </w:numPr>
        <w:spacing w:after="0" w:line="240" w:lineRule="auto"/>
        <w:ind w:hanging="720"/>
        <w:jc w:val="both"/>
        <w:rPr>
          <w:rFonts w:asciiTheme="majorHAnsi" w:hAnsiTheme="majorHAnsi"/>
          <w:b/>
        </w:rPr>
      </w:pPr>
      <w:r w:rsidRPr="00674F80">
        <w:rPr>
          <w:rFonts w:asciiTheme="majorHAnsi" w:hAnsiTheme="majorHAnsi"/>
          <w:b/>
        </w:rPr>
        <w:t>Cena za neomezenou licenci</w:t>
      </w:r>
    </w:p>
    <w:p w14:paraId="39DE131D" w14:textId="5335433A" w:rsidR="00674F80" w:rsidRPr="00674F80" w:rsidRDefault="00674F80" w:rsidP="00674F80">
      <w:pPr>
        <w:pStyle w:val="Odstavecseseznamem"/>
        <w:numPr>
          <w:ilvl w:val="2"/>
          <w:numId w:val="18"/>
        </w:numPr>
        <w:spacing w:after="0" w:line="240" w:lineRule="auto"/>
        <w:jc w:val="both"/>
        <w:rPr>
          <w:rFonts w:asciiTheme="majorHAnsi" w:hAnsiTheme="majorHAnsi"/>
        </w:rPr>
      </w:pPr>
      <w:r w:rsidRPr="00674F80">
        <w:rPr>
          <w:rFonts w:asciiTheme="majorHAnsi" w:hAnsiTheme="majorHAnsi"/>
        </w:rPr>
        <w:t>Cena bez DPH</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Pr="00661F65">
        <w:rPr>
          <w:rFonts w:asciiTheme="majorHAnsi" w:hAnsiTheme="majorHAnsi"/>
          <w:highlight w:val="yellow"/>
        </w:rPr>
        <w:t>……………….</w:t>
      </w:r>
      <w:r w:rsidRPr="00661F65">
        <w:rPr>
          <w:rFonts w:asciiTheme="majorHAnsi" w:hAnsiTheme="majorHAnsi"/>
        </w:rPr>
        <w:t xml:space="preserve"> Kč.</w:t>
      </w:r>
    </w:p>
    <w:p w14:paraId="26563A19" w14:textId="68287169" w:rsidR="00674F80" w:rsidRPr="00674F80" w:rsidRDefault="00674F80" w:rsidP="00674F80">
      <w:pPr>
        <w:pStyle w:val="Odstavecseseznamem"/>
        <w:numPr>
          <w:ilvl w:val="2"/>
          <w:numId w:val="18"/>
        </w:numPr>
        <w:spacing w:after="0" w:line="240" w:lineRule="auto"/>
        <w:jc w:val="both"/>
        <w:rPr>
          <w:rFonts w:asciiTheme="majorHAnsi" w:hAnsiTheme="majorHAnsi"/>
        </w:rPr>
      </w:pPr>
      <w:r w:rsidRPr="00674F80">
        <w:rPr>
          <w:rFonts w:asciiTheme="majorHAnsi" w:hAnsiTheme="majorHAnsi"/>
        </w:rPr>
        <w:t>Výše DPH 21%</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Pr="00661F65">
        <w:rPr>
          <w:rFonts w:asciiTheme="majorHAnsi" w:hAnsiTheme="majorHAnsi"/>
          <w:highlight w:val="yellow"/>
        </w:rPr>
        <w:t>……………….</w:t>
      </w:r>
      <w:r w:rsidRPr="00661F65">
        <w:rPr>
          <w:rFonts w:asciiTheme="majorHAnsi" w:hAnsiTheme="majorHAnsi"/>
        </w:rPr>
        <w:t xml:space="preserve"> Kč.</w:t>
      </w:r>
    </w:p>
    <w:p w14:paraId="24492BF5" w14:textId="22C44D50" w:rsidR="00674F80" w:rsidRPr="00674F80" w:rsidRDefault="00674F80" w:rsidP="00674F80">
      <w:pPr>
        <w:pStyle w:val="Odstavecseseznamem"/>
        <w:numPr>
          <w:ilvl w:val="2"/>
          <w:numId w:val="18"/>
        </w:numPr>
        <w:spacing w:after="0" w:line="240" w:lineRule="auto"/>
        <w:jc w:val="both"/>
        <w:rPr>
          <w:rFonts w:asciiTheme="majorHAnsi" w:hAnsiTheme="majorHAnsi"/>
        </w:rPr>
      </w:pPr>
      <w:r w:rsidRPr="00674F80">
        <w:rPr>
          <w:rFonts w:asciiTheme="majorHAnsi" w:hAnsiTheme="majorHAnsi"/>
        </w:rPr>
        <w:t>Cena včetně DPH</w:t>
      </w:r>
      <w:r>
        <w:rPr>
          <w:rFonts w:asciiTheme="majorHAnsi" w:hAnsiTheme="majorHAnsi"/>
        </w:rPr>
        <w:tab/>
      </w:r>
      <w:r>
        <w:rPr>
          <w:rFonts w:asciiTheme="majorHAnsi" w:hAnsiTheme="majorHAnsi"/>
        </w:rPr>
        <w:tab/>
      </w:r>
      <w:r>
        <w:rPr>
          <w:rFonts w:asciiTheme="majorHAnsi" w:hAnsiTheme="majorHAnsi"/>
        </w:rPr>
        <w:tab/>
      </w:r>
      <w:r w:rsidRPr="00661F65">
        <w:rPr>
          <w:rFonts w:asciiTheme="majorHAnsi" w:hAnsiTheme="majorHAnsi"/>
          <w:highlight w:val="yellow"/>
        </w:rPr>
        <w:t>……………….</w:t>
      </w:r>
      <w:r w:rsidRPr="00661F65">
        <w:rPr>
          <w:rFonts w:asciiTheme="majorHAnsi" w:hAnsiTheme="majorHAnsi"/>
        </w:rPr>
        <w:t xml:space="preserve"> Kč.</w:t>
      </w:r>
    </w:p>
    <w:p w14:paraId="3AE3A99A" w14:textId="77777777" w:rsidR="00674F80" w:rsidRPr="00674F80" w:rsidRDefault="00674F80" w:rsidP="00674F80">
      <w:pPr>
        <w:pStyle w:val="Odstavecseseznamem"/>
        <w:spacing w:after="0" w:line="240" w:lineRule="auto"/>
        <w:ind w:left="1440"/>
        <w:jc w:val="both"/>
        <w:rPr>
          <w:rFonts w:asciiTheme="majorHAnsi" w:hAnsiTheme="majorHAnsi"/>
          <w:b/>
        </w:rPr>
      </w:pPr>
    </w:p>
    <w:p w14:paraId="3D554FFE" w14:textId="63D53C8A" w:rsidR="00661F65" w:rsidRPr="00661F65" w:rsidRDefault="00661F65" w:rsidP="00661F65">
      <w:pPr>
        <w:pStyle w:val="Odstavecseseznamem"/>
        <w:numPr>
          <w:ilvl w:val="1"/>
          <w:numId w:val="18"/>
        </w:numPr>
        <w:spacing w:after="0" w:line="240" w:lineRule="auto"/>
        <w:ind w:hanging="720"/>
        <w:jc w:val="both"/>
        <w:rPr>
          <w:rFonts w:asciiTheme="majorHAnsi" w:hAnsiTheme="majorHAnsi"/>
        </w:rPr>
      </w:pPr>
      <w:r w:rsidRPr="00661F65">
        <w:rPr>
          <w:rFonts w:asciiTheme="majorHAnsi" w:hAnsiTheme="majorHAnsi"/>
        </w:rPr>
        <w:t>Poskytovatelem oceněné výše sankcí SLA za nedodržení Provozních parametrů jsou uvedeny v příloze č. 2 této Smlouvy.</w:t>
      </w:r>
    </w:p>
    <w:p w14:paraId="4B9CA822" w14:textId="6E66EFD3" w:rsidR="000720DD" w:rsidRPr="000720DD" w:rsidRDefault="00661F65" w:rsidP="000720DD">
      <w:pPr>
        <w:pStyle w:val="Odstavecseseznamem"/>
        <w:numPr>
          <w:ilvl w:val="1"/>
          <w:numId w:val="18"/>
        </w:numPr>
        <w:spacing w:after="0" w:line="240" w:lineRule="auto"/>
        <w:ind w:left="709" w:hanging="709"/>
        <w:jc w:val="both"/>
        <w:rPr>
          <w:rFonts w:asciiTheme="majorHAnsi" w:hAnsiTheme="majorHAnsi"/>
        </w:rPr>
      </w:pPr>
      <w:r w:rsidRPr="00661F65">
        <w:rPr>
          <w:rFonts w:asciiTheme="majorHAnsi" w:hAnsiTheme="majorHAnsi"/>
        </w:rPr>
        <w:t>Pokud nebudou ze strany Poskytovatele dodrženy provozní parametry, uvedené v příloze č. 1 této Smlouvy, je Objednatel oprávněn vystavit Poskytovateli sankční fakturu, na základě Poskytovatelem předloženého reportu odvedených služeb</w:t>
      </w:r>
      <w:r w:rsidR="00533209">
        <w:rPr>
          <w:rFonts w:asciiTheme="majorHAnsi" w:hAnsiTheme="majorHAnsi"/>
        </w:rPr>
        <w:t>, který je uveden v příloze č. 2</w:t>
      </w:r>
      <w:r w:rsidRPr="00661F65">
        <w:rPr>
          <w:rFonts w:asciiTheme="majorHAnsi" w:hAnsiTheme="majorHAnsi"/>
        </w:rPr>
        <w:t xml:space="preserve"> této Smlouvy a který je zároveň součástí faktury za </w:t>
      </w:r>
      <w:r w:rsidR="000720DD">
        <w:rPr>
          <w:rFonts w:asciiTheme="majorHAnsi" w:hAnsiTheme="majorHAnsi"/>
        </w:rPr>
        <w:t>provozní</w:t>
      </w:r>
      <w:r w:rsidRPr="00661F65">
        <w:rPr>
          <w:rFonts w:asciiTheme="majorHAnsi" w:hAnsiTheme="majorHAnsi"/>
        </w:rPr>
        <w:t xml:space="preserve"> podporu vystavené Poskytovatelem.</w:t>
      </w:r>
    </w:p>
    <w:p w14:paraId="1EC85CA6" w14:textId="77777777" w:rsidR="00661F65" w:rsidRPr="00661F65" w:rsidRDefault="00661F65" w:rsidP="00661F65">
      <w:pPr>
        <w:pStyle w:val="Odstavecseseznamem"/>
        <w:numPr>
          <w:ilvl w:val="1"/>
          <w:numId w:val="18"/>
        </w:numPr>
        <w:spacing w:after="0" w:line="240" w:lineRule="auto"/>
        <w:ind w:hanging="720"/>
        <w:jc w:val="both"/>
        <w:rPr>
          <w:rFonts w:asciiTheme="majorHAnsi" w:hAnsiTheme="majorHAnsi"/>
          <w:b/>
        </w:rPr>
      </w:pPr>
      <w:r w:rsidRPr="00661F65">
        <w:rPr>
          <w:rFonts w:asciiTheme="majorHAnsi" w:hAnsiTheme="majorHAnsi"/>
          <w:b/>
        </w:rPr>
        <w:t xml:space="preserve">Fakturace </w:t>
      </w:r>
    </w:p>
    <w:p w14:paraId="5F34231E" w14:textId="333BEADB" w:rsidR="00B5748C" w:rsidRDefault="00B5748C" w:rsidP="00661F65">
      <w:pPr>
        <w:pStyle w:val="Odstavecseseznamem"/>
        <w:numPr>
          <w:ilvl w:val="2"/>
          <w:numId w:val="18"/>
        </w:numPr>
        <w:spacing w:after="0" w:line="240" w:lineRule="auto"/>
        <w:jc w:val="both"/>
        <w:rPr>
          <w:rFonts w:asciiTheme="majorHAnsi" w:hAnsiTheme="majorHAnsi"/>
        </w:rPr>
      </w:pPr>
      <w:r>
        <w:rPr>
          <w:rFonts w:asciiTheme="majorHAnsi" w:hAnsiTheme="majorHAnsi"/>
        </w:rPr>
        <w:t xml:space="preserve">Fakturace za časově neomezenou licenci bude provedena na základě faktury vystavené Zhotovitelem </w:t>
      </w:r>
      <w:r w:rsidR="00403883">
        <w:rPr>
          <w:rFonts w:asciiTheme="majorHAnsi" w:hAnsiTheme="majorHAnsi"/>
        </w:rPr>
        <w:t xml:space="preserve">do 14 dnů od účinnosti Smlouvy </w:t>
      </w:r>
      <w:r>
        <w:rPr>
          <w:rFonts w:asciiTheme="majorHAnsi" w:hAnsiTheme="majorHAnsi"/>
        </w:rPr>
        <w:t xml:space="preserve">ve výši dle čl. </w:t>
      </w:r>
      <w:r w:rsidR="00403883">
        <w:rPr>
          <w:rFonts w:asciiTheme="majorHAnsi" w:hAnsiTheme="majorHAnsi"/>
        </w:rPr>
        <w:t>3.3.1.</w:t>
      </w:r>
    </w:p>
    <w:p w14:paraId="07971FA1" w14:textId="41DF5110" w:rsidR="00661F65" w:rsidRPr="00661F65" w:rsidRDefault="00661F65" w:rsidP="00661F65">
      <w:pPr>
        <w:pStyle w:val="Odstavecseseznamem"/>
        <w:numPr>
          <w:ilvl w:val="2"/>
          <w:numId w:val="18"/>
        </w:numPr>
        <w:spacing w:after="0" w:line="240" w:lineRule="auto"/>
        <w:jc w:val="both"/>
        <w:rPr>
          <w:rFonts w:asciiTheme="majorHAnsi" w:hAnsiTheme="majorHAnsi"/>
        </w:rPr>
      </w:pPr>
      <w:r w:rsidRPr="00661F65">
        <w:rPr>
          <w:rFonts w:asciiTheme="majorHAnsi" w:hAnsiTheme="majorHAnsi"/>
        </w:rPr>
        <w:t xml:space="preserve">Fakturace za provedenou </w:t>
      </w:r>
      <w:r w:rsidR="00674F80">
        <w:rPr>
          <w:rFonts w:asciiTheme="majorHAnsi" w:hAnsiTheme="majorHAnsi"/>
          <w:b/>
        </w:rPr>
        <w:t>provozní</w:t>
      </w:r>
      <w:r w:rsidRPr="00661F65">
        <w:rPr>
          <w:rFonts w:asciiTheme="majorHAnsi" w:hAnsiTheme="majorHAnsi"/>
          <w:b/>
        </w:rPr>
        <w:t xml:space="preserve"> podporu</w:t>
      </w:r>
      <w:r w:rsidRPr="00661F65">
        <w:rPr>
          <w:rFonts w:asciiTheme="majorHAnsi" w:hAnsiTheme="majorHAnsi"/>
        </w:rPr>
        <w:t xml:space="preserve"> bude provedena na základě faktury vystavené</w:t>
      </w:r>
      <w:r w:rsidR="00403883">
        <w:rPr>
          <w:rFonts w:asciiTheme="majorHAnsi" w:hAnsiTheme="majorHAnsi"/>
        </w:rPr>
        <w:t xml:space="preserve"> Zhotovitelem</w:t>
      </w:r>
      <w:r w:rsidRPr="00661F65">
        <w:rPr>
          <w:rFonts w:asciiTheme="majorHAnsi" w:hAnsiTheme="majorHAnsi"/>
        </w:rPr>
        <w:t xml:space="preserve">, </w:t>
      </w:r>
      <w:r w:rsidR="00533209">
        <w:rPr>
          <w:rFonts w:asciiTheme="majorHAnsi" w:hAnsiTheme="majorHAnsi"/>
        </w:rPr>
        <w:t>a to kvartálně</w:t>
      </w:r>
      <w:r w:rsidRPr="00661F65">
        <w:rPr>
          <w:rFonts w:asciiTheme="majorHAnsi" w:hAnsiTheme="majorHAnsi"/>
        </w:rPr>
        <w:t xml:space="preserve">. Přílohou této faktury bude report odvedených služeb, který podléhá schválení </w:t>
      </w:r>
      <w:r w:rsidR="00403883">
        <w:rPr>
          <w:rFonts w:asciiTheme="majorHAnsi" w:hAnsiTheme="majorHAnsi"/>
        </w:rPr>
        <w:t>pověřenou osobou</w:t>
      </w:r>
      <w:r w:rsidRPr="00661F65">
        <w:rPr>
          <w:rFonts w:asciiTheme="majorHAnsi" w:hAnsiTheme="majorHAnsi"/>
        </w:rPr>
        <w:t xml:space="preserve"> Objednatele. V reportingu vykázané práce musí být uvedeny zejména tyto informace: druh provedené provozní podpory, nahlášené incidenty, které je  </w:t>
      </w:r>
      <w:r w:rsidR="00403883">
        <w:rPr>
          <w:rFonts w:asciiTheme="majorHAnsi" w:hAnsiTheme="majorHAnsi"/>
        </w:rPr>
        <w:t>Zhotovitel</w:t>
      </w:r>
      <w:r w:rsidR="00403883" w:rsidRPr="00661F65">
        <w:rPr>
          <w:rFonts w:asciiTheme="majorHAnsi" w:hAnsiTheme="majorHAnsi"/>
        </w:rPr>
        <w:t xml:space="preserve"> </w:t>
      </w:r>
      <w:r w:rsidRPr="00661F65">
        <w:rPr>
          <w:rFonts w:asciiTheme="majorHAnsi" w:hAnsiTheme="majorHAnsi"/>
        </w:rPr>
        <w:t xml:space="preserve">povinen odstranit v určité reakční době (druh incidentu a reakční </w:t>
      </w:r>
      <w:r w:rsidR="00533209">
        <w:rPr>
          <w:rFonts w:asciiTheme="majorHAnsi" w:hAnsiTheme="majorHAnsi"/>
        </w:rPr>
        <w:t>doba jsou uvedeny v příloze č. 2</w:t>
      </w:r>
      <w:r w:rsidRPr="00661F65">
        <w:rPr>
          <w:rFonts w:asciiTheme="majorHAnsi" w:hAnsiTheme="majorHAnsi"/>
        </w:rPr>
        <w:t xml:space="preserve"> této Smlouvy), dále zde budou uvedeny i ty incidenty, které </w:t>
      </w:r>
      <w:r w:rsidR="00403883">
        <w:rPr>
          <w:rFonts w:asciiTheme="majorHAnsi" w:hAnsiTheme="majorHAnsi"/>
        </w:rPr>
        <w:t>Zhotovitel</w:t>
      </w:r>
      <w:r w:rsidR="00403883" w:rsidRPr="00661F65">
        <w:rPr>
          <w:rFonts w:asciiTheme="majorHAnsi" w:hAnsiTheme="majorHAnsi"/>
        </w:rPr>
        <w:t xml:space="preserve"> </w:t>
      </w:r>
      <w:r w:rsidRPr="00661F65">
        <w:rPr>
          <w:rFonts w:asciiTheme="majorHAnsi" w:hAnsiTheme="majorHAnsi"/>
        </w:rPr>
        <w:t xml:space="preserve">neodstranil v uvedené reakční době charakteristické pro daný incident. </w:t>
      </w:r>
    </w:p>
    <w:p w14:paraId="2D85D3E0" w14:textId="1843BEFA" w:rsidR="006062F9" w:rsidRPr="00661F65" w:rsidRDefault="00661F65" w:rsidP="00661F65">
      <w:pPr>
        <w:pStyle w:val="Odstavecseseznamem"/>
        <w:numPr>
          <w:ilvl w:val="2"/>
          <w:numId w:val="18"/>
        </w:numPr>
        <w:spacing w:after="0" w:line="240" w:lineRule="auto"/>
        <w:jc w:val="both"/>
        <w:rPr>
          <w:rFonts w:asciiTheme="majorHAnsi" w:hAnsiTheme="majorHAnsi"/>
        </w:rPr>
      </w:pPr>
      <w:r w:rsidRPr="00661F65">
        <w:rPr>
          <w:rFonts w:asciiTheme="majorHAnsi" w:hAnsiTheme="majorHAnsi"/>
        </w:rPr>
        <w:t xml:space="preserve">Fakturace za provedenou </w:t>
      </w:r>
      <w:r w:rsidR="00674F80">
        <w:rPr>
          <w:rFonts w:asciiTheme="majorHAnsi" w:hAnsiTheme="majorHAnsi"/>
          <w:b/>
        </w:rPr>
        <w:t>provozní</w:t>
      </w:r>
      <w:r w:rsidRPr="00661F65">
        <w:rPr>
          <w:rFonts w:asciiTheme="majorHAnsi" w:hAnsiTheme="majorHAnsi"/>
          <w:b/>
        </w:rPr>
        <w:t xml:space="preserve"> údržbu</w:t>
      </w:r>
      <w:r w:rsidRPr="00661F65">
        <w:rPr>
          <w:rFonts w:asciiTheme="majorHAnsi" w:hAnsiTheme="majorHAnsi"/>
        </w:rPr>
        <w:t xml:space="preserve"> bude provedena</w:t>
      </w:r>
      <w:r w:rsidR="00533209">
        <w:rPr>
          <w:rFonts w:asciiTheme="majorHAnsi" w:hAnsiTheme="majorHAnsi"/>
        </w:rPr>
        <w:t xml:space="preserve"> </w:t>
      </w:r>
      <w:r w:rsidRPr="00661F65">
        <w:rPr>
          <w:rFonts w:asciiTheme="majorHAnsi" w:hAnsiTheme="majorHAnsi"/>
        </w:rPr>
        <w:t xml:space="preserve">na základě </w:t>
      </w:r>
      <w:r w:rsidRPr="00533209">
        <w:rPr>
          <w:rFonts w:asciiTheme="majorHAnsi" w:hAnsiTheme="majorHAnsi"/>
        </w:rPr>
        <w:t>faktury vystavené</w:t>
      </w:r>
      <w:r w:rsidRPr="00661F65">
        <w:rPr>
          <w:rFonts w:asciiTheme="majorHAnsi" w:hAnsiTheme="majorHAnsi"/>
        </w:rPr>
        <w:t xml:space="preserve"> Poskytovatelem, a to vždy </w:t>
      </w:r>
      <w:r w:rsidR="00533209">
        <w:rPr>
          <w:rFonts w:asciiTheme="majorHAnsi" w:hAnsiTheme="majorHAnsi"/>
        </w:rPr>
        <w:t xml:space="preserve">kvartálně </w:t>
      </w:r>
      <w:r w:rsidRPr="00661F65">
        <w:rPr>
          <w:rFonts w:asciiTheme="majorHAnsi" w:hAnsiTheme="majorHAnsi"/>
        </w:rPr>
        <w:t xml:space="preserve">na základě skutečně provedených služeb, po jejich dokončení a převzetí ze strany Objednatele, na základě </w:t>
      </w:r>
      <w:r w:rsidR="00533209">
        <w:rPr>
          <w:rFonts w:asciiTheme="majorHAnsi" w:hAnsiTheme="majorHAnsi"/>
        </w:rPr>
        <w:t>dodaného reportu</w:t>
      </w:r>
      <w:r w:rsidR="00403883">
        <w:rPr>
          <w:rFonts w:asciiTheme="majorHAnsi" w:hAnsiTheme="majorHAnsi"/>
        </w:rPr>
        <w:t xml:space="preserve"> schváleného obje</w:t>
      </w:r>
      <w:r w:rsidR="009914AA">
        <w:rPr>
          <w:rFonts w:asciiTheme="majorHAnsi" w:hAnsiTheme="majorHAnsi"/>
        </w:rPr>
        <w:t>dn</w:t>
      </w:r>
      <w:r w:rsidR="00403883">
        <w:rPr>
          <w:rFonts w:asciiTheme="majorHAnsi" w:hAnsiTheme="majorHAnsi"/>
        </w:rPr>
        <w:t>atelem</w:t>
      </w:r>
      <w:r w:rsidRPr="00661F65">
        <w:rPr>
          <w:rFonts w:asciiTheme="majorHAnsi" w:hAnsiTheme="majorHAnsi"/>
        </w:rPr>
        <w:t xml:space="preserve">.  </w:t>
      </w:r>
    </w:p>
    <w:p w14:paraId="1AFBED57" w14:textId="77777777" w:rsidR="004E1498" w:rsidRPr="006062F9" w:rsidRDefault="004E1498" w:rsidP="00592757">
      <w:pPr>
        <w:pStyle w:val="Nadpis1"/>
        <w:rPr>
          <w:rFonts w:eastAsia="Times New Roman"/>
          <w:lang w:eastAsia="cs-CZ"/>
        </w:rPr>
      </w:pPr>
      <w:r w:rsidRPr="006062F9">
        <w:rPr>
          <w:rFonts w:eastAsia="Times New Roman"/>
          <w:lang w:eastAsia="cs-CZ"/>
        </w:rPr>
        <w:t>Místo a doba plnění</w:t>
      </w:r>
    </w:p>
    <w:p w14:paraId="4DCCF507" w14:textId="0783E904" w:rsidR="004E1498" w:rsidRPr="006062F9" w:rsidRDefault="004E1498" w:rsidP="00592757">
      <w:pPr>
        <w:pStyle w:val="Nadpis2"/>
        <w:jc w:val="left"/>
      </w:pPr>
      <w:r w:rsidRPr="006062F9">
        <w:t>Místem plnění je</w:t>
      </w:r>
      <w:r w:rsidR="006062F9" w:rsidRPr="006062F9">
        <w:t xml:space="preserve"> </w:t>
      </w:r>
      <w:r w:rsidR="00DF272A">
        <w:t xml:space="preserve">GŘ, </w:t>
      </w:r>
      <w:r w:rsidR="00DF272A" w:rsidRPr="00687E17">
        <w:t>Dlážděná 1003/7, 110 00 Praha 1 a jednotlivé organizační složky S</w:t>
      </w:r>
      <w:r w:rsidR="00234664">
        <w:t>právy železnic, státní organizace</w:t>
      </w:r>
    </w:p>
    <w:p w14:paraId="795AD3AD" w14:textId="77777777" w:rsidR="00DF272A" w:rsidRDefault="00DF272A" w:rsidP="00DF272A">
      <w:pPr>
        <w:pStyle w:val="Nadpis2"/>
        <w:jc w:val="left"/>
      </w:pPr>
      <w:r w:rsidRPr="00DF272A">
        <w:t xml:space="preserve">Doba plnění: </w:t>
      </w:r>
    </w:p>
    <w:p w14:paraId="012C7CEF" w14:textId="2977F0BA" w:rsidR="00DF272A" w:rsidRPr="00DF272A" w:rsidRDefault="00DF272A" w:rsidP="00DF272A">
      <w:pPr>
        <w:pStyle w:val="Nadpis2"/>
        <w:numPr>
          <w:ilvl w:val="0"/>
          <w:numId w:val="43"/>
        </w:numPr>
        <w:jc w:val="left"/>
      </w:pPr>
      <w:r w:rsidRPr="00DF272A">
        <w:t>provozní podpora a údržba - na 4 roky od účinnosti smlouvy o poskytování služeb</w:t>
      </w:r>
    </w:p>
    <w:p w14:paraId="270673FD" w14:textId="6221638C" w:rsidR="00DF272A" w:rsidRDefault="00DF272A" w:rsidP="00DF272A">
      <w:pPr>
        <w:pStyle w:val="Nadpis2"/>
        <w:numPr>
          <w:ilvl w:val="0"/>
          <w:numId w:val="43"/>
        </w:numPr>
        <w:jc w:val="left"/>
      </w:pPr>
      <w:r w:rsidRPr="00DF272A">
        <w:t>poskytnutá licence - neomezeně</w:t>
      </w:r>
      <w:r w:rsidRPr="00DF272A">
        <w:tab/>
      </w:r>
    </w:p>
    <w:p w14:paraId="35F4EC98" w14:textId="75637784" w:rsidR="00DF272A" w:rsidRPr="00DF272A" w:rsidRDefault="00DF272A" w:rsidP="00DF272A">
      <w:pPr>
        <w:pStyle w:val="Nadpis2"/>
        <w:jc w:val="left"/>
      </w:pPr>
      <w:r>
        <w:t>Objednatel</w:t>
      </w:r>
      <w:r w:rsidRPr="00DF272A">
        <w:t xml:space="preserve"> stanovuje výpovědní lhůtu v délce 6 měsíců</w:t>
      </w:r>
    </w:p>
    <w:p w14:paraId="700C0934" w14:textId="77777777" w:rsidR="004E1498" w:rsidRPr="006062F9" w:rsidRDefault="004E1498" w:rsidP="00592757">
      <w:pPr>
        <w:pStyle w:val="Nadpis1"/>
        <w:rPr>
          <w:rFonts w:eastAsia="Times New Roman"/>
          <w:lang w:eastAsia="cs-CZ"/>
        </w:rPr>
      </w:pPr>
      <w:r w:rsidRPr="006062F9">
        <w:rPr>
          <w:rFonts w:eastAsia="Times New Roman"/>
          <w:lang w:eastAsia="cs-CZ"/>
        </w:rPr>
        <w:t>Poddodavatelé</w:t>
      </w:r>
    </w:p>
    <w:p w14:paraId="18CA0036" w14:textId="647C9264" w:rsidR="004E1498" w:rsidRPr="006062F9" w:rsidRDefault="004E1498" w:rsidP="00592757">
      <w:pPr>
        <w:pStyle w:val="Nadpis2"/>
        <w:jc w:val="left"/>
      </w:pPr>
      <w:r w:rsidRPr="006062F9">
        <w:t xml:space="preserve">Na </w:t>
      </w:r>
      <w:r w:rsidR="00E73DA0" w:rsidRPr="006062F9">
        <w:t>poskytování Služeb</w:t>
      </w:r>
      <w:r w:rsidRPr="006062F9">
        <w:t xml:space="preserve"> se budou podílet subdodavatelé uvedení v příloze č…. této smlouvy. </w:t>
      </w:r>
    </w:p>
    <w:p w14:paraId="1876D5E3" w14:textId="5CA0D685" w:rsidR="004E1498" w:rsidRDefault="00A02EE7" w:rsidP="00592757">
      <w:pPr>
        <w:spacing w:after="0" w:line="240" w:lineRule="auto"/>
        <w:ind w:left="567"/>
        <w:contextualSpacing/>
        <w:rPr>
          <w:rFonts w:eastAsia="Times New Roman" w:cs="Times New Roman"/>
          <w:lang w:eastAsia="cs-CZ"/>
        </w:rPr>
      </w:pPr>
      <w:r w:rsidRPr="006062F9">
        <w:rPr>
          <w:rFonts w:eastAsia="Times New Roman" w:cs="Times New Roman"/>
          <w:lang w:eastAsia="cs-CZ"/>
        </w:rPr>
        <w:t xml:space="preserve">(jestliže se na </w:t>
      </w:r>
      <w:r w:rsidR="00E73DA0" w:rsidRPr="006062F9">
        <w:rPr>
          <w:rFonts w:eastAsia="Times New Roman" w:cs="Times New Roman"/>
          <w:lang w:eastAsia="cs-CZ"/>
        </w:rPr>
        <w:t>poskytování služeb</w:t>
      </w:r>
      <w:r w:rsidRPr="006062F9">
        <w:rPr>
          <w:rFonts w:eastAsia="Times New Roman" w:cs="Times New Roman"/>
          <w:lang w:eastAsia="cs-CZ"/>
        </w:rPr>
        <w:t xml:space="preserve"> nebudou podílet poddodavatelé, dodavatel do bodu 6.1 napíše: „Na </w:t>
      </w:r>
      <w:r w:rsidR="00E73DA0" w:rsidRPr="006062F9">
        <w:rPr>
          <w:rFonts w:eastAsia="Times New Roman" w:cs="Times New Roman"/>
          <w:lang w:eastAsia="cs-CZ"/>
        </w:rPr>
        <w:t>poskytování služeb</w:t>
      </w:r>
      <w:r w:rsidRPr="006062F9">
        <w:rPr>
          <w:rFonts w:eastAsia="Times New Roman" w:cs="Times New Roman"/>
          <w:lang w:eastAsia="cs-CZ"/>
        </w:rPr>
        <w:t xml:space="preserve"> se nebudou podílet poddodavatelé</w:t>
      </w:r>
      <w:r w:rsidR="00E73DA0" w:rsidRPr="006062F9">
        <w:rPr>
          <w:rFonts w:eastAsia="Times New Roman" w:cs="Times New Roman"/>
          <w:lang w:eastAsia="cs-CZ"/>
        </w:rPr>
        <w:t>“</w:t>
      </w:r>
      <w:r w:rsidRPr="006062F9">
        <w:rPr>
          <w:rFonts w:eastAsia="Times New Roman" w:cs="Times New Roman"/>
          <w:lang w:eastAsia="cs-CZ"/>
        </w:rPr>
        <w:t xml:space="preserve"> a vymaže tuto položku ze seznamu příloh).</w:t>
      </w:r>
    </w:p>
    <w:p w14:paraId="215287A8" w14:textId="3E6FC81D" w:rsidR="000E2153" w:rsidRDefault="000E2153" w:rsidP="00592757">
      <w:pPr>
        <w:spacing w:after="0" w:line="240" w:lineRule="auto"/>
        <w:ind w:left="567"/>
        <w:contextualSpacing/>
        <w:rPr>
          <w:rFonts w:eastAsia="Times New Roman" w:cs="Times New Roman"/>
          <w:lang w:eastAsia="cs-CZ"/>
        </w:rPr>
      </w:pPr>
    </w:p>
    <w:p w14:paraId="615CDB46" w14:textId="23A96301" w:rsidR="000E2153" w:rsidRDefault="000E2153" w:rsidP="00592757">
      <w:pPr>
        <w:spacing w:after="0" w:line="240" w:lineRule="auto"/>
        <w:ind w:left="567"/>
        <w:contextualSpacing/>
        <w:rPr>
          <w:rFonts w:eastAsia="Times New Roman" w:cs="Times New Roman"/>
          <w:lang w:eastAsia="cs-CZ"/>
        </w:rPr>
      </w:pPr>
    </w:p>
    <w:p w14:paraId="3447D9C2" w14:textId="17D08C90" w:rsidR="000E2153" w:rsidRDefault="000E2153" w:rsidP="00592757">
      <w:pPr>
        <w:spacing w:after="0" w:line="240" w:lineRule="auto"/>
        <w:ind w:left="567"/>
        <w:contextualSpacing/>
        <w:rPr>
          <w:rFonts w:eastAsia="Times New Roman" w:cs="Times New Roman"/>
          <w:lang w:eastAsia="cs-CZ"/>
        </w:rPr>
      </w:pPr>
    </w:p>
    <w:p w14:paraId="36AD3A45" w14:textId="77777777" w:rsidR="000E2153" w:rsidRPr="006062F9" w:rsidRDefault="000E2153" w:rsidP="00592757">
      <w:pPr>
        <w:spacing w:after="0" w:line="240" w:lineRule="auto"/>
        <w:ind w:left="567"/>
        <w:contextualSpacing/>
        <w:rPr>
          <w:rFonts w:eastAsia="Times New Roman" w:cs="Times New Roman"/>
          <w:lang w:eastAsia="cs-CZ"/>
        </w:rPr>
      </w:pPr>
    </w:p>
    <w:p w14:paraId="21F816C5" w14:textId="5B275981" w:rsidR="004E1498" w:rsidRPr="00661F65" w:rsidRDefault="004E1498" w:rsidP="00661F65">
      <w:pPr>
        <w:pStyle w:val="Nadpis1"/>
        <w:rPr>
          <w:rFonts w:eastAsia="Times New Roman"/>
          <w:lang w:eastAsia="cs-CZ"/>
        </w:rPr>
      </w:pPr>
      <w:r w:rsidRPr="00661F65">
        <w:rPr>
          <w:rFonts w:eastAsia="Times New Roman"/>
          <w:lang w:eastAsia="cs-CZ"/>
        </w:rPr>
        <w:lastRenderedPageBreak/>
        <w:t>Další ujednání</w:t>
      </w:r>
    </w:p>
    <w:p w14:paraId="458E4AF9" w14:textId="4F6F4C29" w:rsidR="004E1498" w:rsidRPr="006062F9" w:rsidRDefault="00E73DA0" w:rsidP="00592757">
      <w:pPr>
        <w:pStyle w:val="Nadpis2"/>
        <w:jc w:val="left"/>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6062F9" w:rsidRDefault="004E1498" w:rsidP="00592757">
      <w:pPr>
        <w:pStyle w:val="Nadpis2"/>
        <w:jc w:val="left"/>
      </w:pPr>
      <w:r w:rsidRPr="006062F9">
        <w:t>Kontaktními osobami smluvních stran jsou</w:t>
      </w:r>
    </w:p>
    <w:p w14:paraId="4E7FEA6D" w14:textId="776D44A0" w:rsidR="004E1498" w:rsidRPr="006062F9" w:rsidRDefault="004E1498" w:rsidP="00592757">
      <w:pPr>
        <w:pStyle w:val="Nadpis3"/>
        <w:jc w:val="left"/>
        <w:rPr>
          <w:highlight w:val="yellow"/>
        </w:rPr>
      </w:pPr>
      <w:r w:rsidRPr="006062F9">
        <w:rPr>
          <w:highlight w:val="yellow"/>
        </w:rPr>
        <w:t>za Objednatele p. ………………</w:t>
      </w:r>
      <w:r w:rsidR="0086114C" w:rsidRPr="006062F9">
        <w:rPr>
          <w:highlight w:val="yellow"/>
        </w:rPr>
        <w:t>……,</w:t>
      </w:r>
      <w:r w:rsidRPr="006062F9">
        <w:rPr>
          <w:highlight w:val="yellow"/>
        </w:rPr>
        <w:t xml:space="preserve"> tel. ……………</w:t>
      </w:r>
      <w:r w:rsidR="0086114C" w:rsidRPr="006062F9">
        <w:rPr>
          <w:highlight w:val="yellow"/>
        </w:rPr>
        <w:t>……,</w:t>
      </w:r>
      <w:r w:rsidRPr="006062F9">
        <w:rPr>
          <w:highlight w:val="yellow"/>
        </w:rPr>
        <w:t xml:space="preserve"> email ………………</w:t>
      </w:r>
      <w:r w:rsidR="0086114C" w:rsidRPr="006062F9">
        <w:rPr>
          <w:highlight w:val="yellow"/>
        </w:rPr>
        <w:t>……,</w:t>
      </w:r>
    </w:p>
    <w:p w14:paraId="1C513CD4" w14:textId="01B6E89F" w:rsidR="004E1498" w:rsidRPr="006062F9" w:rsidRDefault="004E1498" w:rsidP="00592757">
      <w:pPr>
        <w:pStyle w:val="Nadpis3"/>
        <w:jc w:val="left"/>
        <w:rPr>
          <w:highlight w:val="yellow"/>
        </w:rPr>
      </w:pPr>
      <w:r w:rsidRPr="006062F9">
        <w:rPr>
          <w:highlight w:val="yellow"/>
        </w:rPr>
        <w:t xml:space="preserve">za </w:t>
      </w:r>
      <w:r w:rsidR="00E73DA0" w:rsidRPr="006062F9">
        <w:rPr>
          <w:highlight w:val="yellow"/>
        </w:rPr>
        <w:t>Poskytovatel</w:t>
      </w:r>
      <w:r w:rsidRPr="006062F9">
        <w:rPr>
          <w:highlight w:val="yellow"/>
        </w:rPr>
        <w:t>e p. ………………</w:t>
      </w:r>
      <w:r w:rsidR="0086114C" w:rsidRPr="006062F9">
        <w:rPr>
          <w:highlight w:val="yellow"/>
        </w:rPr>
        <w:t>……,</w:t>
      </w:r>
      <w:r w:rsidRPr="006062F9">
        <w:rPr>
          <w:highlight w:val="yellow"/>
        </w:rPr>
        <w:t xml:space="preserve"> tel. ……………</w:t>
      </w:r>
      <w:r w:rsidR="0086114C" w:rsidRPr="006062F9">
        <w:rPr>
          <w:highlight w:val="yellow"/>
        </w:rPr>
        <w:t>……,</w:t>
      </w:r>
      <w:r w:rsidRPr="006062F9">
        <w:rPr>
          <w:highlight w:val="yellow"/>
        </w:rPr>
        <w:t xml:space="preserve"> email ………………</w:t>
      </w:r>
      <w:r w:rsidR="0086114C" w:rsidRPr="006062F9">
        <w:rPr>
          <w:highlight w:val="yellow"/>
        </w:rPr>
        <w:t>…….</w:t>
      </w:r>
    </w:p>
    <w:p w14:paraId="739753B3" w14:textId="77777777" w:rsidR="004E1498" w:rsidRPr="006062F9" w:rsidRDefault="004E1498" w:rsidP="00592757">
      <w:pPr>
        <w:pStyle w:val="Nadpis2"/>
        <w:jc w:val="left"/>
      </w:pPr>
      <w:r w:rsidRPr="006062F9">
        <w:t xml:space="preserve"> </w:t>
      </w: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6062F9" w:rsidRDefault="004E1498" w:rsidP="00592757">
      <w:pPr>
        <w:pStyle w:val="Nadpis2"/>
        <w:jc w:val="left"/>
      </w:pPr>
      <w:r w:rsidRPr="006062F9">
        <w:rPr>
          <w:rStyle w:val="Nadpis2Char"/>
          <w:rFonts w:eastAsia="Calibri"/>
        </w:rPr>
        <w:t xml:space="preserve">Zaslání </w:t>
      </w:r>
      <w:r w:rsidRPr="006062F9">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592757">
      <w:pPr>
        <w:pStyle w:val="Nadpis2"/>
        <w:jc w:val="left"/>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6062F9" w:rsidRDefault="004E1498" w:rsidP="00592757">
      <w:pPr>
        <w:pStyle w:val="Nadpis2"/>
        <w:jc w:val="left"/>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Pr="006062F9" w:rsidRDefault="004E1498" w:rsidP="00592757">
      <w:pPr>
        <w:pStyle w:val="Nadpis2"/>
        <w:jc w:val="left"/>
        <w:rPr>
          <w:rFonts w:eastAsia="Calibri"/>
        </w:rPr>
      </w:pPr>
      <w:r w:rsidRPr="006062F9">
        <w:rPr>
          <w:rFonts w:eastAsia="Calibri"/>
        </w:rPr>
        <w:t>Osoby uzavírající tuto smlouvu za Smluvní strany souhlasí s uveřejněním svých osobních údajů, které jsou uvedeny v této smlouvě, spolu se smlouvou v registru smluv. Tento souhlas je udělen na dobu neurčitou.</w:t>
      </w:r>
    </w:p>
    <w:p w14:paraId="6EBA43DC" w14:textId="0B5BBB07" w:rsidR="004E1498" w:rsidRPr="006062F9" w:rsidRDefault="006C7697" w:rsidP="00592757">
      <w:pPr>
        <w:pStyle w:val="Nadpis2"/>
        <w:jc w:val="left"/>
        <w:rPr>
          <w:rFonts w:eastAsia="Calibri"/>
        </w:rPr>
      </w:pPr>
      <w:r w:rsidRPr="006062F9">
        <w:rPr>
          <w:rFonts w:eastAsia="Calibri"/>
        </w:rPr>
        <w:t xml:space="preserve">V případě poskytnutí osobních údajů v rámci plnění smluvního vztahu se </w:t>
      </w:r>
      <w:r w:rsidR="00E73DA0" w:rsidRPr="006062F9">
        <w:rPr>
          <w:rFonts w:eastAsia="Calibri"/>
        </w:rPr>
        <w:t>Poskytovatel</w:t>
      </w:r>
      <w:r w:rsidRPr="006062F9">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7ACA4F45" w14:textId="77777777" w:rsidR="004E1498" w:rsidRPr="004E1498" w:rsidRDefault="004E1498" w:rsidP="00592757">
      <w:pPr>
        <w:pStyle w:val="Nadpis1"/>
        <w:rPr>
          <w:rFonts w:eastAsia="Times New Roman"/>
          <w:lang w:eastAsia="cs-CZ"/>
        </w:rPr>
      </w:pPr>
      <w:r w:rsidRPr="004E1498">
        <w:rPr>
          <w:rFonts w:eastAsia="Times New Roman"/>
          <w:lang w:eastAsia="cs-CZ"/>
        </w:rPr>
        <w:t>Závěrečná ujednání</w:t>
      </w:r>
    </w:p>
    <w:p w14:paraId="3E50101D" w14:textId="388C0BB8" w:rsidR="004E1498" w:rsidRPr="004E1498" w:rsidRDefault="004E1498" w:rsidP="00592757">
      <w:pPr>
        <w:pStyle w:val="Nadpis2"/>
        <w:jc w:val="left"/>
      </w:pPr>
      <w:r w:rsidRPr="004E1498">
        <w:t xml:space="preserve">Tato smlouva se řídí Obchodními podmínkami ke Smlouvě o </w:t>
      </w:r>
      <w:r w:rsidR="004A519A">
        <w:t>poskytování služeb</w:t>
      </w:r>
      <w:r w:rsidRPr="004E1498">
        <w:t xml:space="preserve"> (dále jen „Obchodní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564BB0DC" w:rsidR="004E1498" w:rsidRPr="004E1498" w:rsidRDefault="00E73DA0" w:rsidP="00592757">
      <w:pPr>
        <w:pStyle w:val="Nadpis2"/>
        <w:jc w:val="left"/>
      </w:pPr>
      <w:r>
        <w:t>Poskytovatel</w:t>
      </w:r>
      <w:r w:rsidR="004E1498" w:rsidRPr="004E1498">
        <w:t xml:space="preserve"> prohlašuje, že </w:t>
      </w:r>
    </w:p>
    <w:p w14:paraId="7633B164" w14:textId="77777777" w:rsidR="004E1498" w:rsidRPr="004E1498" w:rsidRDefault="004E1498" w:rsidP="00592757">
      <w:pPr>
        <w:pStyle w:val="Nadpis3"/>
        <w:jc w:val="left"/>
      </w:pPr>
      <w:r w:rsidRPr="004E1498">
        <w:t>se zněním Obchodních podmínek se před podpisem této smlouvy seznámil,</w:t>
      </w:r>
    </w:p>
    <w:p w14:paraId="382930A8" w14:textId="77777777" w:rsidR="004E1498" w:rsidRPr="004E1498" w:rsidRDefault="004E1498" w:rsidP="00592757">
      <w:pPr>
        <w:pStyle w:val="Nadpis3"/>
        <w:jc w:val="left"/>
      </w:pPr>
      <w:r w:rsidRPr="004E1498">
        <w:t>v dostatečném rozsahu se seznámil s veškerými požadavky Objednatele dle této smlouvy, přičemž si není vědom žádným překážek, které by mu bránily v poskytnutí sjednaného plnění v souladu s touto smlouvou.</w:t>
      </w:r>
    </w:p>
    <w:p w14:paraId="7C89F548" w14:textId="3B519A94" w:rsidR="006E6E61" w:rsidRPr="006E6E61" w:rsidRDefault="006E6E61" w:rsidP="001F7617">
      <w:pPr>
        <w:pStyle w:val="Nadpis2"/>
        <w:jc w:val="left"/>
      </w:pPr>
      <w:r w:rsidRPr="006E6E61">
        <w:t xml:space="preserve">Tato Smlouva je sepsána ve třech vyhotoveních, přičemž jedno vyhotovení obdrží </w:t>
      </w:r>
      <w:r w:rsidR="00E73DA0">
        <w:t>Poskytovatel</w:t>
      </w:r>
      <w:r w:rsidRPr="006E6E61">
        <w:t xml:space="preserve"> a dvě vyhotovení Objednatel.</w:t>
      </w:r>
    </w:p>
    <w:p w14:paraId="6AB23CD3" w14:textId="75E7FA05" w:rsidR="004E1498" w:rsidRPr="004E1498" w:rsidRDefault="004E1498" w:rsidP="001F7617">
      <w:pPr>
        <w:pStyle w:val="Nadpis2"/>
        <w:jc w:val="left"/>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1F7617">
      <w:pPr>
        <w:pStyle w:val="Nadpis2"/>
        <w:jc w:val="left"/>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1F7617">
      <w:pPr>
        <w:pStyle w:val="Nadpis2"/>
        <w:jc w:val="left"/>
      </w:pPr>
      <w:r w:rsidRPr="004E1498">
        <w:lastRenderedPageBreak/>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1F7617">
      <w:pPr>
        <w:pStyle w:val="Nadpis2"/>
        <w:jc w:val="left"/>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1F7617">
      <w:pPr>
        <w:pStyle w:val="Nadpis2"/>
        <w:jc w:val="left"/>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1F7617">
      <w:pPr>
        <w:pStyle w:val="Nadpis2"/>
        <w:jc w:val="left"/>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4E1498" w:rsidRDefault="004E1498" w:rsidP="001F7617">
      <w:pPr>
        <w:pStyle w:val="Nadpis2"/>
        <w:jc w:val="left"/>
      </w:pPr>
      <w:r w:rsidRPr="004E1498">
        <w:t xml:space="preserve">Zvláštní podmínky, na které odkazuje Smlouva o </w:t>
      </w:r>
      <w:r w:rsidR="004A519A">
        <w:t>poskytování služeb</w:t>
      </w:r>
      <w:r w:rsidRPr="004E1498">
        <w:t>, mají přednost před zněním Obchodních podmínek, Obchodní podmínky se užijí v rozsahu, v jakém nejsou v rozporu s takovými zvláštními podmínkami.</w:t>
      </w:r>
    </w:p>
    <w:p w14:paraId="4C1A93EA" w14:textId="6209FFC0" w:rsidR="004E1498" w:rsidRDefault="004E1498" w:rsidP="001F7617">
      <w:pPr>
        <w:pStyle w:val="Nadpis2"/>
        <w:jc w:val="left"/>
        <w:rPr>
          <w:rFonts w:eastAsia="Calibri"/>
        </w:rPr>
      </w:pPr>
      <w:r w:rsidRPr="006062F9">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34A54969" w14:textId="51B8BFD0" w:rsidR="00765206" w:rsidRPr="00765206" w:rsidRDefault="00765206" w:rsidP="00765206">
      <w:pPr>
        <w:pStyle w:val="Nadpis2"/>
        <w:jc w:val="left"/>
      </w:pPr>
      <w:r>
        <w:t>Nabytím účinnosti této smlouvy zaniká předchozí smlouva č.j. 15764/2017-SŽDC-GŘ-O8.</w:t>
      </w:r>
    </w:p>
    <w:p w14:paraId="7BCD9A30"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19A1228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2B352579" w14:textId="20C0982A" w:rsidR="00F076A0" w:rsidRPr="00F076A0" w:rsidRDefault="00DF272A" w:rsidP="00F076A0">
      <w:pPr>
        <w:pStyle w:val="Odstavecseseznamem"/>
        <w:numPr>
          <w:ilvl w:val="0"/>
          <w:numId w:val="5"/>
        </w:numPr>
        <w:spacing w:after="0" w:line="240" w:lineRule="auto"/>
        <w:ind w:left="709" w:hanging="709"/>
        <w:jc w:val="both"/>
        <w:rPr>
          <w:rFonts w:asciiTheme="majorHAnsi" w:hAnsiTheme="majorHAnsi"/>
        </w:rPr>
      </w:pPr>
      <w:r>
        <w:t>Bližší specifikace el. systému</w:t>
      </w:r>
      <w:r w:rsidRPr="00F076A0">
        <w:rPr>
          <w:rFonts w:asciiTheme="majorHAnsi" w:hAnsiTheme="majorHAnsi"/>
        </w:rPr>
        <w:t xml:space="preserve"> </w:t>
      </w:r>
    </w:p>
    <w:p w14:paraId="30EB6B86" w14:textId="1040B412" w:rsidR="00F076A0" w:rsidRPr="00DF272A" w:rsidRDefault="00DF272A" w:rsidP="00F076A0">
      <w:pPr>
        <w:pStyle w:val="Odstavecseseznamem"/>
        <w:numPr>
          <w:ilvl w:val="0"/>
          <w:numId w:val="5"/>
        </w:numPr>
        <w:spacing w:after="0" w:line="240" w:lineRule="auto"/>
        <w:ind w:left="709" w:hanging="709"/>
        <w:jc w:val="both"/>
        <w:rPr>
          <w:rFonts w:asciiTheme="majorHAnsi" w:hAnsiTheme="majorHAnsi"/>
        </w:rPr>
      </w:pPr>
      <w:r>
        <w:t>Bližší specifikace podpory provozu a provozní údržby</w:t>
      </w:r>
    </w:p>
    <w:p w14:paraId="1D48C60C" w14:textId="7B34C4FB" w:rsidR="00DF272A" w:rsidRPr="00F076A0" w:rsidRDefault="00DF272A" w:rsidP="00F076A0">
      <w:pPr>
        <w:pStyle w:val="Odstavecseseznamem"/>
        <w:numPr>
          <w:ilvl w:val="0"/>
          <w:numId w:val="5"/>
        </w:numPr>
        <w:spacing w:after="0" w:line="240" w:lineRule="auto"/>
        <w:ind w:left="709" w:hanging="709"/>
        <w:jc w:val="both"/>
        <w:rPr>
          <w:rFonts w:asciiTheme="majorHAnsi" w:hAnsiTheme="majorHAnsi"/>
        </w:rPr>
      </w:pPr>
      <w:r>
        <w:rPr>
          <w:rFonts w:asciiTheme="majorHAnsi" w:hAnsiTheme="majorHAnsi"/>
        </w:rPr>
        <w:t>GDPR</w:t>
      </w:r>
    </w:p>
    <w:p w14:paraId="5288C1FB" w14:textId="77777777" w:rsidR="00F076A0" w:rsidRPr="00F076A0" w:rsidRDefault="00F076A0" w:rsidP="00F076A0">
      <w:pPr>
        <w:pStyle w:val="Odstavecseseznamem"/>
        <w:numPr>
          <w:ilvl w:val="0"/>
          <w:numId w:val="5"/>
        </w:numPr>
        <w:spacing w:after="0" w:line="240" w:lineRule="auto"/>
        <w:ind w:left="709" w:hanging="709"/>
        <w:jc w:val="both"/>
        <w:rPr>
          <w:rFonts w:asciiTheme="majorHAnsi" w:hAnsiTheme="majorHAnsi"/>
          <w:highlight w:val="yellow"/>
        </w:rPr>
      </w:pPr>
      <w:r w:rsidRPr="00F076A0">
        <w:rPr>
          <w:rFonts w:asciiTheme="majorHAnsi" w:hAnsiTheme="majorHAnsi"/>
          <w:highlight w:val="yellow"/>
        </w:rPr>
        <w:t>Seznam poddodavatelů – doplní poskytovatel</w:t>
      </w:r>
    </w:p>
    <w:p w14:paraId="63868CE7" w14:textId="77777777" w:rsidR="00F076A0" w:rsidRPr="007F7048" w:rsidRDefault="00F076A0" w:rsidP="00F076A0">
      <w:pPr>
        <w:pStyle w:val="Odstavecseseznamem"/>
        <w:ind w:left="709"/>
        <w:jc w:val="both"/>
        <w:rPr>
          <w:rFonts w:ascii="Calibri" w:hAnsi="Calibri"/>
          <w:sz w:val="22"/>
          <w:szCs w:val="22"/>
        </w:rPr>
      </w:pPr>
    </w:p>
    <w:p w14:paraId="64EEE3E6" w14:textId="77777777" w:rsidR="006E6E61" w:rsidRPr="004E1498" w:rsidRDefault="006E6E61" w:rsidP="006E6E61">
      <w:pPr>
        <w:overflowPunct w:val="0"/>
        <w:autoSpaceDE w:val="0"/>
        <w:autoSpaceDN w:val="0"/>
        <w:adjustRightInd w:val="0"/>
        <w:spacing w:after="0" w:line="240" w:lineRule="auto"/>
        <w:textAlignment w:val="baseline"/>
        <w:rPr>
          <w:rFonts w:eastAsia="Times New Roman" w:cs="Times New Roman"/>
          <w:lang w:eastAsia="cs-CZ"/>
        </w:rPr>
      </w:pPr>
    </w:p>
    <w:p w14:paraId="4B15E5D7" w14:textId="77777777" w:rsidR="006C7697" w:rsidRDefault="006C7697" w:rsidP="00592757">
      <w:pPr>
        <w:overflowPunct w:val="0"/>
        <w:autoSpaceDE w:val="0"/>
        <w:autoSpaceDN w:val="0"/>
        <w:adjustRightInd w:val="0"/>
        <w:spacing w:after="0" w:line="240" w:lineRule="auto"/>
        <w:textAlignment w:val="baseline"/>
        <w:rPr>
          <w:rFonts w:eastAsia="Times New Roman" w:cs="Times New Roman"/>
          <w:lang w:eastAsia="cs-CZ"/>
        </w:rPr>
      </w:pPr>
    </w:p>
    <w:p w14:paraId="5E3C9403" w14:textId="419B07D6"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V ________________ dne ____________</w:t>
      </w:r>
      <w:r w:rsidRPr="004E1498">
        <w:rPr>
          <w:rFonts w:eastAsia="Times New Roman" w:cs="Times New Roman"/>
          <w:lang w:eastAsia="cs-CZ"/>
        </w:rPr>
        <w:tab/>
      </w:r>
      <w:r w:rsidRPr="004E1498">
        <w:rPr>
          <w:rFonts w:eastAsia="Times New Roman" w:cs="Times New Roman"/>
          <w:lang w:eastAsia="cs-CZ"/>
        </w:rPr>
        <w:tab/>
        <w:t>V________________dne ____________</w:t>
      </w:r>
    </w:p>
    <w:p w14:paraId="0C2120A0"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6DED5E02"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463C624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1593C2EC" w14:textId="2AE82AA8"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b/>
          <w:lang w:eastAsia="cs-CZ"/>
        </w:rPr>
        <w:t>_______________________________</w:t>
      </w:r>
      <w:r w:rsidRPr="004E1498">
        <w:rPr>
          <w:rFonts w:eastAsia="Times New Roman" w:cs="Times New Roman"/>
          <w:b/>
          <w:lang w:eastAsia="cs-CZ"/>
        </w:rPr>
        <w:tab/>
      </w:r>
      <w:r w:rsidRPr="0086114C">
        <w:rPr>
          <w:rFonts w:eastAsia="Times New Roman" w:cs="Times New Roman"/>
          <w:b/>
          <w:lang w:eastAsia="cs-CZ"/>
        </w:rPr>
        <w:t xml:space="preserve">    </w:t>
      </w:r>
      <w:r w:rsidR="0086114C">
        <w:rPr>
          <w:rFonts w:eastAsia="Times New Roman" w:cs="Times New Roman"/>
          <w:b/>
          <w:lang w:eastAsia="cs-CZ"/>
        </w:rPr>
        <w:t xml:space="preserve"> </w:t>
      </w:r>
      <w:r w:rsidRPr="0086114C">
        <w:rPr>
          <w:rFonts w:eastAsia="Times New Roman" w:cs="Times New Roman"/>
          <w:b/>
          <w:lang w:eastAsia="cs-CZ"/>
        </w:rPr>
        <w:t xml:space="preserve"> </w:t>
      </w:r>
      <w:r w:rsidR="0086114C">
        <w:rPr>
          <w:rFonts w:eastAsia="Times New Roman" w:cs="Times New Roman"/>
          <w:b/>
          <w:lang w:eastAsia="cs-CZ"/>
        </w:rPr>
        <w:t xml:space="preserve">     </w:t>
      </w:r>
      <w:r w:rsidRPr="004E1498">
        <w:rPr>
          <w:rFonts w:eastAsia="Times New Roman" w:cs="Times New Roman"/>
          <w:b/>
          <w:lang w:eastAsia="cs-CZ"/>
        </w:rPr>
        <w:t>_____________________________</w:t>
      </w:r>
    </w:p>
    <w:p w14:paraId="70C1EA5C" w14:textId="7926CBB6" w:rsidR="006C7697" w:rsidRDefault="004E1498" w:rsidP="006C7697">
      <w:pPr>
        <w:overflowPunct w:val="0"/>
        <w:autoSpaceDE w:val="0"/>
        <w:autoSpaceDN w:val="0"/>
        <w:adjustRightInd w:val="0"/>
        <w:spacing w:after="0" w:line="240" w:lineRule="auto"/>
        <w:textAlignment w:val="baseline"/>
        <w:rPr>
          <w:rFonts w:eastAsia="Times New Roman" w:cs="Times New Roman"/>
          <w:b/>
          <w:lang w:eastAsia="cs-CZ"/>
        </w:rPr>
      </w:pPr>
      <w:r w:rsidRPr="0086114C">
        <w:rPr>
          <w:rFonts w:eastAsia="Times New Roman" w:cs="Times New Roman"/>
          <w:b/>
          <w:lang w:eastAsia="cs-CZ"/>
        </w:rPr>
        <w:t xml:space="preserve">Za </w:t>
      </w:r>
      <w:r w:rsidRPr="004E1498">
        <w:rPr>
          <w:rFonts w:eastAsia="Times New Roman" w:cs="Times New Roman"/>
          <w:b/>
          <w:lang w:eastAsia="cs-CZ"/>
        </w:rPr>
        <w:t>Objednatel</w:t>
      </w:r>
      <w:r w:rsidRPr="004E1498">
        <w:rPr>
          <w:rFonts w:eastAsia="Times New Roman" w:cs="Times New Roman"/>
          <w:b/>
          <w:lang w:eastAsia="cs-CZ"/>
        </w:rPr>
        <w:tab/>
      </w:r>
      <w:r w:rsidR="00F969C4">
        <w:rPr>
          <w:rFonts w:eastAsia="Times New Roman" w:cs="Times New Roman"/>
          <w:b/>
          <w:lang w:eastAsia="cs-CZ"/>
        </w:rPr>
        <w:t>e</w:t>
      </w:r>
      <w:r w:rsidRPr="004E1498">
        <w:rPr>
          <w:rFonts w:eastAsia="Times New Roman" w:cs="Times New Roman"/>
          <w:b/>
          <w:lang w:eastAsia="cs-CZ"/>
        </w:rPr>
        <w:tab/>
      </w:r>
      <w:r w:rsidRPr="004E1498">
        <w:rPr>
          <w:rFonts w:eastAsia="Times New Roman" w:cs="Times New Roman"/>
          <w:b/>
          <w:lang w:eastAsia="cs-CZ"/>
        </w:rPr>
        <w:tab/>
      </w:r>
      <w:r w:rsidRPr="004E1498">
        <w:rPr>
          <w:rFonts w:eastAsia="Times New Roman" w:cs="Times New Roman"/>
          <w:b/>
          <w:lang w:eastAsia="cs-CZ"/>
        </w:rPr>
        <w:tab/>
      </w:r>
      <w:r w:rsidRPr="004E1498">
        <w:rPr>
          <w:rFonts w:eastAsia="Times New Roman" w:cs="Times New Roman"/>
          <w:b/>
          <w:lang w:eastAsia="cs-CZ"/>
        </w:rPr>
        <w:tab/>
      </w:r>
      <w:r w:rsidRPr="004E1498">
        <w:rPr>
          <w:rFonts w:eastAsia="Times New Roman" w:cs="Times New Roman"/>
          <w:b/>
          <w:lang w:eastAsia="cs-CZ"/>
        </w:rPr>
        <w:tab/>
      </w:r>
      <w:r w:rsidRPr="0086114C">
        <w:rPr>
          <w:rFonts w:eastAsia="Times New Roman" w:cs="Times New Roman"/>
          <w:b/>
          <w:lang w:eastAsia="cs-CZ"/>
        </w:rPr>
        <w:t xml:space="preserve">Za </w:t>
      </w:r>
      <w:r w:rsidR="00E73DA0">
        <w:rPr>
          <w:rFonts w:eastAsia="Times New Roman" w:cs="Times New Roman"/>
          <w:b/>
          <w:lang w:eastAsia="cs-CZ"/>
        </w:rPr>
        <w:t>Poskytovatel</w:t>
      </w:r>
      <w:r w:rsidRPr="0086114C">
        <w:rPr>
          <w:rFonts w:eastAsia="Times New Roman" w:cs="Times New Roman"/>
          <w:b/>
          <w:lang w:eastAsia="cs-CZ"/>
        </w:rPr>
        <w:t>e</w:t>
      </w:r>
    </w:p>
    <w:p w14:paraId="35EE86DD" w14:textId="2CD98CCF" w:rsidR="006C7697" w:rsidRDefault="00F858B7" w:rsidP="006C7697">
      <w:pPr>
        <w:overflowPunct w:val="0"/>
        <w:autoSpaceDE w:val="0"/>
        <w:autoSpaceDN w:val="0"/>
        <w:adjustRightInd w:val="0"/>
        <w:spacing w:after="0" w:line="240" w:lineRule="auto"/>
        <w:textAlignment w:val="baseline"/>
        <w:rPr>
          <w:rFonts w:eastAsia="Calibri" w:cs="Times New Roman"/>
        </w:rPr>
      </w:pPr>
      <w:r w:rsidRPr="00F858B7">
        <w:rPr>
          <w:rFonts w:eastAsia="Calibri" w:cs="Times New Roman"/>
          <w:b/>
        </w:rPr>
        <w:t>Ing. Aleš Krejčí</w:t>
      </w:r>
      <w:r w:rsidR="006062F9">
        <w:rPr>
          <w:rFonts w:eastAsia="Calibri" w:cs="Times New Roman"/>
        </w:rPr>
        <w:tab/>
      </w:r>
      <w:r w:rsidR="006062F9">
        <w:rPr>
          <w:rFonts w:eastAsia="Calibri" w:cs="Times New Roman"/>
        </w:rPr>
        <w:tab/>
      </w:r>
      <w:r w:rsidR="006062F9">
        <w:rPr>
          <w:rFonts w:eastAsia="Calibri" w:cs="Times New Roman"/>
        </w:rPr>
        <w:tab/>
      </w:r>
      <w:r w:rsidR="006062F9">
        <w:rPr>
          <w:rFonts w:eastAsia="Calibri" w:cs="Times New Roman"/>
        </w:rPr>
        <w:tab/>
      </w:r>
      <w:r w:rsidR="003452CE">
        <w:rPr>
          <w:rFonts w:eastAsia="Calibri" w:cs="Times New Roman"/>
        </w:rPr>
        <w:tab/>
      </w:r>
      <w:r w:rsidR="006062F9" w:rsidRPr="006062F9">
        <w:rPr>
          <w:rFonts w:eastAsia="Calibri" w:cs="Times New Roman"/>
          <w:highlight w:val="yellow"/>
        </w:rPr>
        <w:t>………………………….</w:t>
      </w:r>
    </w:p>
    <w:p w14:paraId="0D77DFA1" w14:textId="1B7B8DDB" w:rsidR="006062F9" w:rsidRDefault="00F858B7" w:rsidP="006C7697">
      <w:pPr>
        <w:overflowPunct w:val="0"/>
        <w:autoSpaceDE w:val="0"/>
        <w:autoSpaceDN w:val="0"/>
        <w:adjustRightInd w:val="0"/>
        <w:spacing w:after="0" w:line="240" w:lineRule="auto"/>
        <w:textAlignment w:val="baseline"/>
        <w:rPr>
          <w:rFonts w:eastAsia="Calibri" w:cs="Times New Roman"/>
        </w:rPr>
      </w:pPr>
      <w:r>
        <w:rPr>
          <w:rFonts w:eastAsia="Calibri" w:cs="Times New Roman"/>
        </w:rPr>
        <w:t>náměstek GŘ pro ekonomiku</w:t>
      </w:r>
      <w:r>
        <w:rPr>
          <w:rFonts w:eastAsia="Calibri" w:cs="Times New Roman"/>
        </w:rPr>
        <w:tab/>
      </w:r>
      <w:r>
        <w:rPr>
          <w:rFonts w:eastAsia="Calibri" w:cs="Times New Roman"/>
        </w:rPr>
        <w:tab/>
      </w:r>
      <w:r>
        <w:rPr>
          <w:rFonts w:eastAsia="Calibri" w:cs="Times New Roman"/>
        </w:rPr>
        <w:tab/>
      </w:r>
      <w:r>
        <w:rPr>
          <w:rFonts w:eastAsia="Calibri" w:cs="Times New Roman"/>
        </w:rPr>
        <w:tab/>
      </w:r>
      <w:r w:rsidR="006062F9" w:rsidRPr="006062F9">
        <w:rPr>
          <w:rFonts w:eastAsia="Calibri" w:cs="Times New Roman"/>
          <w:highlight w:val="yellow"/>
        </w:rPr>
        <w:t>………………………….</w:t>
      </w:r>
    </w:p>
    <w:p w14:paraId="7E4E2527" w14:textId="77777777" w:rsidR="006062F9" w:rsidRDefault="006062F9" w:rsidP="006C7697">
      <w:pPr>
        <w:overflowPunct w:val="0"/>
        <w:autoSpaceDE w:val="0"/>
        <w:autoSpaceDN w:val="0"/>
        <w:adjustRightInd w:val="0"/>
        <w:spacing w:after="0" w:line="240" w:lineRule="auto"/>
        <w:textAlignment w:val="baseline"/>
        <w:rPr>
          <w:rFonts w:eastAsia="Calibri" w:cs="Times New Roman"/>
        </w:rPr>
      </w:pPr>
    </w:p>
    <w:p w14:paraId="66B68ECD" w14:textId="77777777" w:rsidR="006062F9" w:rsidRDefault="006062F9" w:rsidP="006C7697">
      <w:pPr>
        <w:overflowPunct w:val="0"/>
        <w:autoSpaceDE w:val="0"/>
        <w:autoSpaceDN w:val="0"/>
        <w:adjustRightInd w:val="0"/>
        <w:spacing w:after="0" w:line="240" w:lineRule="auto"/>
        <w:textAlignment w:val="baseline"/>
        <w:rPr>
          <w:rFonts w:eastAsia="Calibri" w:cs="Times New Roman"/>
        </w:rPr>
      </w:pPr>
    </w:p>
    <w:p w14:paraId="1C61E97C" w14:textId="77777777" w:rsidR="006062F9" w:rsidRDefault="006062F9" w:rsidP="006C7697">
      <w:pPr>
        <w:overflowPunct w:val="0"/>
        <w:autoSpaceDE w:val="0"/>
        <w:autoSpaceDN w:val="0"/>
        <w:adjustRightInd w:val="0"/>
        <w:spacing w:after="0" w:line="240" w:lineRule="auto"/>
        <w:textAlignment w:val="baseline"/>
        <w:rPr>
          <w:rFonts w:eastAsia="Calibri" w:cs="Times New Roman"/>
        </w:rPr>
      </w:pPr>
    </w:p>
    <w:p w14:paraId="3F4BA921" w14:textId="77777777" w:rsidR="006062F9" w:rsidRDefault="006062F9" w:rsidP="006C7697">
      <w:pPr>
        <w:overflowPunct w:val="0"/>
        <w:autoSpaceDE w:val="0"/>
        <w:autoSpaceDN w:val="0"/>
        <w:adjustRightInd w:val="0"/>
        <w:spacing w:after="0" w:line="240" w:lineRule="auto"/>
        <w:textAlignment w:val="baseline"/>
        <w:rPr>
          <w:rFonts w:eastAsia="Calibri" w:cs="Times New Roman"/>
        </w:rPr>
      </w:pPr>
    </w:p>
    <w:p w14:paraId="211ED849" w14:textId="77777777" w:rsidR="006062F9" w:rsidRDefault="006062F9" w:rsidP="006C7697">
      <w:pPr>
        <w:overflowPunct w:val="0"/>
        <w:autoSpaceDE w:val="0"/>
        <w:autoSpaceDN w:val="0"/>
        <w:adjustRightInd w:val="0"/>
        <w:spacing w:after="0" w:line="240" w:lineRule="auto"/>
        <w:textAlignment w:val="baseline"/>
        <w:rPr>
          <w:rFonts w:eastAsia="Calibri" w:cs="Times New Roman"/>
        </w:rPr>
      </w:pPr>
    </w:p>
    <w:p w14:paraId="261724BF" w14:textId="77777777" w:rsidR="006062F9" w:rsidRDefault="006062F9" w:rsidP="006C7697">
      <w:pPr>
        <w:overflowPunct w:val="0"/>
        <w:autoSpaceDE w:val="0"/>
        <w:autoSpaceDN w:val="0"/>
        <w:adjustRightInd w:val="0"/>
        <w:spacing w:after="0" w:line="240" w:lineRule="auto"/>
        <w:textAlignment w:val="baseline"/>
        <w:rPr>
          <w:rFonts w:eastAsia="Calibri" w:cs="Times New Roman"/>
        </w:rPr>
      </w:pPr>
    </w:p>
    <w:p w14:paraId="3D6E84C1" w14:textId="2C1B6E14" w:rsidR="009F392E" w:rsidRDefault="004E1498" w:rsidP="006C7697">
      <w:pPr>
        <w:overflowPunct w:val="0"/>
        <w:autoSpaceDE w:val="0"/>
        <w:autoSpaceDN w:val="0"/>
        <w:adjustRightInd w:val="0"/>
        <w:spacing w:after="0" w:line="240" w:lineRule="auto"/>
        <w:textAlignment w:val="baseline"/>
        <w:rPr>
          <w:rFonts w:eastAsia="Calibri" w:cs="Times New Roman"/>
        </w:rPr>
      </w:pPr>
      <w:r w:rsidRPr="004E1498">
        <w:rPr>
          <w:rFonts w:eastAsia="Calibri" w:cs="Times New Roman"/>
        </w:rPr>
        <w:t>Tato smlouva byla uveřejněna prost</w:t>
      </w:r>
      <w:r w:rsidR="00107E5E">
        <w:rPr>
          <w:rFonts w:eastAsia="Calibri" w:cs="Times New Roman"/>
        </w:rPr>
        <w:t>řednictvím registru smluv dne …</w:t>
      </w:r>
    </w:p>
    <w:p w14:paraId="335AC0B8" w14:textId="6C0B4594" w:rsidR="00234664" w:rsidRDefault="00234664" w:rsidP="006C7697">
      <w:pPr>
        <w:overflowPunct w:val="0"/>
        <w:autoSpaceDE w:val="0"/>
        <w:autoSpaceDN w:val="0"/>
        <w:adjustRightInd w:val="0"/>
        <w:spacing w:after="0" w:line="240" w:lineRule="auto"/>
        <w:textAlignment w:val="baseline"/>
        <w:rPr>
          <w:rFonts w:eastAsia="Calibri" w:cs="Times New Roman"/>
        </w:rPr>
      </w:pPr>
    </w:p>
    <w:p w14:paraId="07793442" w14:textId="08644ABA" w:rsidR="00234664" w:rsidRDefault="00234664" w:rsidP="006C7697">
      <w:pPr>
        <w:overflowPunct w:val="0"/>
        <w:autoSpaceDE w:val="0"/>
        <w:autoSpaceDN w:val="0"/>
        <w:adjustRightInd w:val="0"/>
        <w:spacing w:after="0" w:line="240" w:lineRule="auto"/>
        <w:textAlignment w:val="baseline"/>
        <w:rPr>
          <w:rFonts w:eastAsia="Calibri" w:cs="Times New Roman"/>
        </w:rPr>
      </w:pPr>
    </w:p>
    <w:p w14:paraId="6141122C" w14:textId="77777777" w:rsidR="00234664" w:rsidRPr="00A157FE" w:rsidRDefault="00234664" w:rsidP="00234664">
      <w:pPr>
        <w:overflowPunct w:val="0"/>
        <w:autoSpaceDE w:val="0"/>
        <w:autoSpaceDN w:val="0"/>
        <w:adjustRightInd w:val="0"/>
        <w:spacing w:after="0" w:line="240" w:lineRule="auto"/>
        <w:textAlignment w:val="baseline"/>
        <w:rPr>
          <w:rFonts w:eastAsia="Calibri" w:cs="Times New Roman"/>
          <w:sz w:val="16"/>
          <w:szCs w:val="16"/>
        </w:rPr>
      </w:pPr>
      <w:r w:rsidRPr="00A157FE">
        <w:rPr>
          <w:rFonts w:ascii="Verdana" w:hAnsi="Verdana"/>
          <w:i/>
          <w:iCs/>
          <w:sz w:val="16"/>
          <w:szCs w:val="16"/>
        </w:rPr>
        <w:t>Účinností zákona č. 367/2019 Sb., tj. od 1. 1. 2020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 Smluvní strany naznačenou okolnost berou na vědomí a jsou s ní srozuměny</w:t>
      </w:r>
      <w:r>
        <w:rPr>
          <w:rFonts w:ascii="Verdana" w:hAnsi="Verdana"/>
          <w:i/>
          <w:iCs/>
          <w:sz w:val="16"/>
          <w:szCs w:val="16"/>
        </w:rPr>
        <w:t>.</w:t>
      </w:r>
    </w:p>
    <w:p w14:paraId="0A936697" w14:textId="77777777" w:rsidR="00234664" w:rsidRPr="006C7697" w:rsidRDefault="00234664" w:rsidP="006C7697">
      <w:pPr>
        <w:overflowPunct w:val="0"/>
        <w:autoSpaceDE w:val="0"/>
        <w:autoSpaceDN w:val="0"/>
        <w:adjustRightInd w:val="0"/>
        <w:spacing w:after="0" w:line="240" w:lineRule="auto"/>
        <w:textAlignment w:val="baseline"/>
        <w:rPr>
          <w:rFonts w:eastAsia="Calibri" w:cs="Times New Roman"/>
        </w:rPr>
      </w:pPr>
      <w:bookmarkStart w:id="0" w:name="_GoBack"/>
      <w:bookmarkEnd w:id="0"/>
    </w:p>
    <w:sectPr w:rsidR="00234664" w:rsidRPr="006C7697" w:rsidSect="00FC6389">
      <w:headerReference w:type="default" r:id="rId8"/>
      <w:footerReference w:type="default" r:id="rId9"/>
      <w:headerReference w:type="first" r:id="rId10"/>
      <w:footerReference w:type="first" r:id="rId1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1A55D1" w14:textId="77777777" w:rsidR="00704D3E" w:rsidRDefault="00704D3E" w:rsidP="00962258">
      <w:pPr>
        <w:spacing w:after="0" w:line="240" w:lineRule="auto"/>
      </w:pPr>
      <w:r>
        <w:separator/>
      </w:r>
    </w:p>
  </w:endnote>
  <w:endnote w:type="continuationSeparator" w:id="0">
    <w:p w14:paraId="3AD5B422" w14:textId="77777777" w:rsidR="00704D3E" w:rsidRDefault="00704D3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1E57704B"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4664">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34664">
            <w:rPr>
              <w:rStyle w:val="slostrnky"/>
              <w:noProof/>
            </w:rPr>
            <w:t>4</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109A39"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0BEC043"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355AEDD7"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466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34664">
            <w:rPr>
              <w:rStyle w:val="slostrnky"/>
              <w:noProof/>
            </w:rPr>
            <w:t>4</w:t>
          </w:r>
          <w:r w:rsidRPr="00B8518B">
            <w:rPr>
              <w:rStyle w:val="slostrnky"/>
            </w:rPr>
            <w:fldChar w:fldCharType="end"/>
          </w:r>
        </w:p>
      </w:tc>
      <w:tc>
        <w:tcPr>
          <w:tcW w:w="3458" w:type="dxa"/>
          <w:shd w:val="clear" w:color="auto" w:fill="auto"/>
          <w:tcMar>
            <w:left w:w="0" w:type="dxa"/>
            <w:right w:w="0" w:type="dxa"/>
          </w:tcMar>
        </w:tcPr>
        <w:p w14:paraId="3EA9F2EE" w14:textId="77777777" w:rsidR="00592757" w:rsidRDefault="00592757" w:rsidP="00093A53">
          <w:pPr>
            <w:pStyle w:val="Zpat"/>
          </w:pPr>
          <w:r>
            <w:t>Správa železniční dopravní cesty,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77777777" w:rsidR="00592757" w:rsidRDefault="00592757" w:rsidP="00093A53">
          <w:pPr>
            <w:pStyle w:val="Zpat"/>
          </w:pPr>
          <w:r>
            <w:t>www.szdc.cz</w:t>
          </w:r>
        </w:p>
      </w:tc>
      <w:tc>
        <w:tcPr>
          <w:tcW w:w="2921" w:type="dxa"/>
        </w:tcPr>
        <w:p w14:paraId="0C29E961" w14:textId="77777777" w:rsidR="00592757" w:rsidRDefault="0059275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5C456F"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DBB08E"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C87BB4" w14:textId="77777777" w:rsidR="00704D3E" w:rsidRDefault="00704D3E" w:rsidP="00962258">
      <w:pPr>
        <w:spacing w:after="0" w:line="240" w:lineRule="auto"/>
      </w:pPr>
      <w:r>
        <w:separator/>
      </w:r>
    </w:p>
  </w:footnote>
  <w:footnote w:type="continuationSeparator" w:id="0">
    <w:p w14:paraId="1DB55304" w14:textId="77777777" w:rsidR="00704D3E" w:rsidRDefault="00704D3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77777777" w:rsidR="00F1715C" w:rsidRPr="00D6163D" w:rsidRDefault="00F1715C" w:rsidP="00FC6389">
    <w:pPr>
      <w:pStyle w:val="Zhlav"/>
      <w:rPr>
        <w:sz w:val="8"/>
        <w:szCs w:val="8"/>
      </w:rPr>
    </w:pPr>
    <w:r w:rsidRPr="00493B1B">
      <w:rPr>
        <w:b/>
        <w:noProof/>
        <w:color w:val="ED7D31"/>
        <w:sz w:val="14"/>
        <w:lang w:eastAsia="cs-CZ"/>
      </w:rPr>
      <w:drawing>
        <wp:anchor distT="0" distB="0" distL="114300" distR="114300" simplePos="0" relativeHeight="251655680" behindDoc="0" locked="1" layoutInCell="1" allowOverlap="1" wp14:anchorId="2D392433" wp14:editId="2076ACA8">
          <wp:simplePos x="0" y="0"/>
          <wp:positionH relativeFrom="page">
            <wp:posOffset>37465</wp:posOffset>
          </wp:positionH>
          <wp:positionV relativeFrom="page">
            <wp:posOffset>-19050</wp:posOffset>
          </wp:positionV>
          <wp:extent cx="3070225" cy="10331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A311B9"/>
    <w:multiLevelType w:val="hybridMultilevel"/>
    <w:tmpl w:val="66DA3DFE"/>
    <w:lvl w:ilvl="0" w:tplc="166A306E">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9"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5A35EC"/>
    <w:multiLevelType w:val="hybridMultilevel"/>
    <w:tmpl w:val="A5844C08"/>
    <w:lvl w:ilvl="0" w:tplc="166A306E">
      <w:numFmt w:val="bullet"/>
      <w:lvlText w:val="-"/>
      <w:lvlJc w:val="left"/>
      <w:pPr>
        <w:ind w:left="1506" w:hanging="360"/>
      </w:pPr>
      <w:rPr>
        <w:rFonts w:ascii="Verdana" w:eastAsiaTheme="minorHAnsi" w:hAnsi="Verdana" w:cstheme="minorBidi"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18" w15:restartNumberingAfterBreak="0">
    <w:nsid w:val="637E2D8D"/>
    <w:multiLevelType w:val="multilevel"/>
    <w:tmpl w:val="7C14694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4705C84"/>
    <w:multiLevelType w:val="hybridMultilevel"/>
    <w:tmpl w:val="DBC84BD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2"/>
  </w:num>
  <w:num w:numId="3">
    <w:abstractNumId w:val="6"/>
  </w:num>
  <w:num w:numId="4">
    <w:abstractNumId w:val="22"/>
  </w:num>
  <w:num w:numId="5">
    <w:abstractNumId w:val="9"/>
  </w:num>
  <w:num w:numId="6">
    <w:abstractNumId w:val="0"/>
  </w:num>
  <w:num w:numId="7">
    <w:abstractNumId w:val="11"/>
  </w:num>
  <w:num w:numId="8">
    <w:abstractNumId w:val="23"/>
  </w:num>
  <w:num w:numId="9">
    <w:abstractNumId w:val="12"/>
  </w:num>
  <w:num w:numId="10">
    <w:abstractNumId w:val="7"/>
  </w:num>
  <w:num w:numId="11">
    <w:abstractNumId w:val="3"/>
  </w:num>
  <w:num w:numId="12">
    <w:abstractNumId w:val="20"/>
  </w:num>
  <w:num w:numId="13">
    <w:abstractNumId w:val="21"/>
  </w:num>
  <w:num w:numId="14">
    <w:abstractNumId w:val="5"/>
  </w:num>
  <w:num w:numId="15">
    <w:abstractNumId w:val="24"/>
  </w:num>
  <w:num w:numId="16">
    <w:abstractNumId w:val="13"/>
  </w:num>
  <w:num w:numId="17">
    <w:abstractNumId w:val="8"/>
  </w:num>
  <w:num w:numId="18">
    <w:abstractNumId w:val="10"/>
  </w:num>
  <w:num w:numId="19">
    <w:abstractNumId w:val="16"/>
  </w:num>
  <w:num w:numId="20">
    <w:abstractNumId w:val="15"/>
  </w:num>
  <w:num w:numId="21">
    <w:abstractNumId w:val="8"/>
  </w:num>
  <w:num w:numId="22">
    <w:abstractNumId w:val="8"/>
  </w:num>
  <w:num w:numId="23">
    <w:abstractNumId w:val="8"/>
  </w:num>
  <w:num w:numId="24">
    <w:abstractNumId w:val="8"/>
  </w:num>
  <w:num w:numId="25">
    <w:abstractNumId w:val="8"/>
  </w:num>
  <w:num w:numId="26">
    <w:abstractNumId w:val="8"/>
  </w:num>
  <w:num w:numId="27">
    <w:abstractNumId w:val="8"/>
  </w:num>
  <w:num w:numId="28">
    <w:abstractNumId w:val="8"/>
  </w:num>
  <w:num w:numId="29">
    <w:abstractNumId w:val="8"/>
  </w:num>
  <w:num w:numId="30">
    <w:abstractNumId w:val="8"/>
  </w:num>
  <w:num w:numId="31">
    <w:abstractNumId w:val="8"/>
  </w:num>
  <w:num w:numId="32">
    <w:abstractNumId w:val="8"/>
  </w:num>
  <w:num w:numId="33">
    <w:abstractNumId w:val="8"/>
  </w:num>
  <w:num w:numId="34">
    <w:abstractNumId w:val="14"/>
  </w:num>
  <w:num w:numId="35">
    <w:abstractNumId w:val="8"/>
  </w:num>
  <w:num w:numId="36">
    <w:abstractNumId w:val="8"/>
  </w:num>
  <w:num w:numId="37">
    <w:abstractNumId w:val="8"/>
  </w:num>
  <w:num w:numId="38">
    <w:abstractNumId w:val="18"/>
  </w:num>
  <w:num w:numId="39">
    <w:abstractNumId w:val="8"/>
  </w:num>
  <w:num w:numId="40">
    <w:abstractNumId w:val="1"/>
  </w:num>
  <w:num w:numId="41">
    <w:abstractNumId w:val="19"/>
  </w:num>
  <w:num w:numId="42">
    <w:abstractNumId w:val="8"/>
  </w:num>
  <w:num w:numId="43">
    <w:abstractNumId w:val="17"/>
  </w:num>
  <w:num w:numId="44">
    <w:abstractNumId w:val="8"/>
  </w:num>
  <w:num w:numId="45">
    <w:abstractNumId w:val="8"/>
  </w:num>
  <w:num w:numId="46">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720DD"/>
    <w:rsid w:val="00072C1E"/>
    <w:rsid w:val="00073A69"/>
    <w:rsid w:val="000A13BC"/>
    <w:rsid w:val="000A3F85"/>
    <w:rsid w:val="000D1A0F"/>
    <w:rsid w:val="000E2153"/>
    <w:rsid w:val="000E23A7"/>
    <w:rsid w:val="0010693F"/>
    <w:rsid w:val="00107E5E"/>
    <w:rsid w:val="00111F39"/>
    <w:rsid w:val="00114472"/>
    <w:rsid w:val="0013379C"/>
    <w:rsid w:val="001550BC"/>
    <w:rsid w:val="001605B9"/>
    <w:rsid w:val="00170EC5"/>
    <w:rsid w:val="001747C1"/>
    <w:rsid w:val="00184743"/>
    <w:rsid w:val="001F32C9"/>
    <w:rsid w:val="001F7617"/>
    <w:rsid w:val="00207DF5"/>
    <w:rsid w:val="00234664"/>
    <w:rsid w:val="00280E07"/>
    <w:rsid w:val="002C31BF"/>
    <w:rsid w:val="002D08B1"/>
    <w:rsid w:val="002E0CD7"/>
    <w:rsid w:val="003013FA"/>
    <w:rsid w:val="003071BD"/>
    <w:rsid w:val="00341DCF"/>
    <w:rsid w:val="003452CE"/>
    <w:rsid w:val="00357BC6"/>
    <w:rsid w:val="003956C6"/>
    <w:rsid w:val="003A4D59"/>
    <w:rsid w:val="003B39EC"/>
    <w:rsid w:val="003D703A"/>
    <w:rsid w:val="003F20D8"/>
    <w:rsid w:val="00403883"/>
    <w:rsid w:val="004338E5"/>
    <w:rsid w:val="00441430"/>
    <w:rsid w:val="00450F07"/>
    <w:rsid w:val="00453CD3"/>
    <w:rsid w:val="00460660"/>
    <w:rsid w:val="00486107"/>
    <w:rsid w:val="00491827"/>
    <w:rsid w:val="00492DAB"/>
    <w:rsid w:val="00493B1B"/>
    <w:rsid w:val="004A519A"/>
    <w:rsid w:val="004A6222"/>
    <w:rsid w:val="004B348C"/>
    <w:rsid w:val="004C4399"/>
    <w:rsid w:val="004C728D"/>
    <w:rsid w:val="004C787C"/>
    <w:rsid w:val="004E143C"/>
    <w:rsid w:val="004E1498"/>
    <w:rsid w:val="004E3A53"/>
    <w:rsid w:val="004F4B9B"/>
    <w:rsid w:val="00503B7A"/>
    <w:rsid w:val="00511AB9"/>
    <w:rsid w:val="00522467"/>
    <w:rsid w:val="00523EA7"/>
    <w:rsid w:val="00527421"/>
    <w:rsid w:val="00533209"/>
    <w:rsid w:val="00537B7A"/>
    <w:rsid w:val="00553375"/>
    <w:rsid w:val="005736B7"/>
    <w:rsid w:val="00575E5A"/>
    <w:rsid w:val="00592757"/>
    <w:rsid w:val="00597E84"/>
    <w:rsid w:val="005B76DD"/>
    <w:rsid w:val="005D5624"/>
    <w:rsid w:val="005E7A24"/>
    <w:rsid w:val="005F1404"/>
    <w:rsid w:val="0060520C"/>
    <w:rsid w:val="006062F9"/>
    <w:rsid w:val="0061068E"/>
    <w:rsid w:val="00660AD3"/>
    <w:rsid w:val="00661F65"/>
    <w:rsid w:val="006649CB"/>
    <w:rsid w:val="00674F80"/>
    <w:rsid w:val="00677B7F"/>
    <w:rsid w:val="006A5570"/>
    <w:rsid w:val="006A689C"/>
    <w:rsid w:val="006B3D79"/>
    <w:rsid w:val="006C741A"/>
    <w:rsid w:val="006C7697"/>
    <w:rsid w:val="006D7AFE"/>
    <w:rsid w:val="006E0578"/>
    <w:rsid w:val="006E314D"/>
    <w:rsid w:val="006E6E61"/>
    <w:rsid w:val="00702628"/>
    <w:rsid w:val="00704D3E"/>
    <w:rsid w:val="007061F8"/>
    <w:rsid w:val="00710723"/>
    <w:rsid w:val="00723ED1"/>
    <w:rsid w:val="00743525"/>
    <w:rsid w:val="007510DD"/>
    <w:rsid w:val="0076286B"/>
    <w:rsid w:val="00765206"/>
    <w:rsid w:val="00766846"/>
    <w:rsid w:val="0077673A"/>
    <w:rsid w:val="007846E1"/>
    <w:rsid w:val="007A0C04"/>
    <w:rsid w:val="007A27FA"/>
    <w:rsid w:val="007B570C"/>
    <w:rsid w:val="007C589B"/>
    <w:rsid w:val="007E4A6E"/>
    <w:rsid w:val="007F56A7"/>
    <w:rsid w:val="00807DD0"/>
    <w:rsid w:val="00810E9B"/>
    <w:rsid w:val="0086114C"/>
    <w:rsid w:val="008659F3"/>
    <w:rsid w:val="00886D4B"/>
    <w:rsid w:val="00895406"/>
    <w:rsid w:val="008A3568"/>
    <w:rsid w:val="008D03B9"/>
    <w:rsid w:val="008E1E86"/>
    <w:rsid w:val="008F18D6"/>
    <w:rsid w:val="008F7DFE"/>
    <w:rsid w:val="00904780"/>
    <w:rsid w:val="00922385"/>
    <w:rsid w:val="009223DF"/>
    <w:rsid w:val="00936091"/>
    <w:rsid w:val="00940D8A"/>
    <w:rsid w:val="00950C1F"/>
    <w:rsid w:val="00962258"/>
    <w:rsid w:val="009678B7"/>
    <w:rsid w:val="009833E1"/>
    <w:rsid w:val="009914AA"/>
    <w:rsid w:val="00992D9C"/>
    <w:rsid w:val="00996CB8"/>
    <w:rsid w:val="009A0078"/>
    <w:rsid w:val="009B14A9"/>
    <w:rsid w:val="009B2E97"/>
    <w:rsid w:val="009C651E"/>
    <w:rsid w:val="009D3556"/>
    <w:rsid w:val="009E07F4"/>
    <w:rsid w:val="009F392E"/>
    <w:rsid w:val="00A02EE7"/>
    <w:rsid w:val="00A2738B"/>
    <w:rsid w:val="00A52B36"/>
    <w:rsid w:val="00A6177B"/>
    <w:rsid w:val="00A66136"/>
    <w:rsid w:val="00A75834"/>
    <w:rsid w:val="00AA4CBB"/>
    <w:rsid w:val="00AA65FA"/>
    <w:rsid w:val="00AA7351"/>
    <w:rsid w:val="00AB53C9"/>
    <w:rsid w:val="00AB6759"/>
    <w:rsid w:val="00AD056F"/>
    <w:rsid w:val="00AD6731"/>
    <w:rsid w:val="00B15D0D"/>
    <w:rsid w:val="00B5748C"/>
    <w:rsid w:val="00B75EE1"/>
    <w:rsid w:val="00B77481"/>
    <w:rsid w:val="00B8518B"/>
    <w:rsid w:val="00BB184D"/>
    <w:rsid w:val="00BD7E91"/>
    <w:rsid w:val="00C02D0A"/>
    <w:rsid w:val="00C03A6E"/>
    <w:rsid w:val="00C25494"/>
    <w:rsid w:val="00C44F6A"/>
    <w:rsid w:val="00C47AE3"/>
    <w:rsid w:val="00CD1FC4"/>
    <w:rsid w:val="00CE7923"/>
    <w:rsid w:val="00D21061"/>
    <w:rsid w:val="00D4108E"/>
    <w:rsid w:val="00D5431B"/>
    <w:rsid w:val="00D6163D"/>
    <w:rsid w:val="00D831A3"/>
    <w:rsid w:val="00D85C5B"/>
    <w:rsid w:val="00DB295F"/>
    <w:rsid w:val="00DC75F3"/>
    <w:rsid w:val="00DD46F3"/>
    <w:rsid w:val="00DE56F2"/>
    <w:rsid w:val="00DF116D"/>
    <w:rsid w:val="00DF272A"/>
    <w:rsid w:val="00E73DA0"/>
    <w:rsid w:val="00EB104F"/>
    <w:rsid w:val="00ED14BD"/>
    <w:rsid w:val="00EF1804"/>
    <w:rsid w:val="00F0533E"/>
    <w:rsid w:val="00F076A0"/>
    <w:rsid w:val="00F1048D"/>
    <w:rsid w:val="00F12DEC"/>
    <w:rsid w:val="00F1715C"/>
    <w:rsid w:val="00F310F8"/>
    <w:rsid w:val="00F35939"/>
    <w:rsid w:val="00F45607"/>
    <w:rsid w:val="00F659EB"/>
    <w:rsid w:val="00F858B7"/>
    <w:rsid w:val="00F86BA6"/>
    <w:rsid w:val="00F969C4"/>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F5FF3E3"/>
  <w14:defaultImageDpi w14:val="32767"/>
  <w15:docId w15:val="{342F488F-C32D-46AD-9BE7-7E5481272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B5748C"/>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B5748C"/>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D8E0D5-CB1C-46CE-BBFB-979625112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4</Pages>
  <Words>1624</Words>
  <Characters>9586</Characters>
  <Application>Microsoft Office Word</Application>
  <DocSecurity>0</DocSecurity>
  <Lines>79</Lines>
  <Paragraphs>22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11188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Herdová Veronika, DiS.</cp:lastModifiedBy>
  <cp:revision>18</cp:revision>
  <cp:lastPrinted>2017-11-28T17:18:00Z</cp:lastPrinted>
  <dcterms:created xsi:type="dcterms:W3CDTF">2019-05-15T06:31:00Z</dcterms:created>
  <dcterms:modified xsi:type="dcterms:W3CDTF">2020-01-08T13:37:00Z</dcterms:modified>
</cp:coreProperties>
</file>